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102" w:rsidRDefault="003A2B23">
      <w:pPr>
        <w:pStyle w:val="berschrift3"/>
        <w:ind w:left="1276"/>
        <w:jc w:val="center"/>
      </w:pPr>
      <w:r>
        <w:rPr>
          <w:noProof/>
          <w:sz w:val="32"/>
        </w:rPr>
        <mc:AlternateContent>
          <mc:Choice Requires="wps">
            <w:drawing>
              <wp:anchor distT="0" distB="0" distL="114300" distR="114300" simplePos="0" relativeHeight="251657728" behindDoc="0" locked="0" layoutInCell="1" allowOverlap="1">
                <wp:simplePos x="0" y="0"/>
                <wp:positionH relativeFrom="column">
                  <wp:posOffset>-391795</wp:posOffset>
                </wp:positionH>
                <wp:positionV relativeFrom="paragraph">
                  <wp:posOffset>-97790</wp:posOffset>
                </wp:positionV>
                <wp:extent cx="1003935" cy="10775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102" w:rsidRDefault="003A2B23">
                            <w:r>
                              <w:rPr>
                                <w:rFonts w:ascii="Verdana" w:hAnsi="Verdana"/>
                                <w:noProof/>
                              </w:rPr>
                              <w:drawing>
                                <wp:inline distT="0" distB="0" distL="0" distR="0">
                                  <wp:extent cx="812800" cy="977900"/>
                                  <wp:effectExtent l="0" t="0" r="6350" b="0"/>
                                  <wp:docPr id="1" name="Bild 1" descr="WAPP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I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 cy="977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85pt;margin-top:-7.7pt;width:79.05pt;height:8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7zgwIAABA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" stroked="f">
                <v:textbox>
                  <w:txbxContent>
                    <w:p w:rsidR="00975102" w:rsidRDefault="003A2B23">
                      <w:r>
                        <w:rPr>
                          <w:rFonts w:ascii="Verdana" w:hAnsi="Verdana"/>
                          <w:noProof/>
                        </w:rPr>
                        <w:drawing>
                          <wp:inline distT="0" distB="0" distL="0" distR="0">
                            <wp:extent cx="812800" cy="977900"/>
                            <wp:effectExtent l="0" t="0" r="6350" b="0"/>
                            <wp:docPr id="1" name="Bild 1" descr="WAPP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I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 cy="977900"/>
                                    </a:xfrm>
                                    <a:prstGeom prst="rect">
                                      <a:avLst/>
                                    </a:prstGeom>
                                    <a:noFill/>
                                    <a:ln>
                                      <a:noFill/>
                                    </a:ln>
                                  </pic:spPr>
                                </pic:pic>
                              </a:graphicData>
                            </a:graphic>
                          </wp:inline>
                        </w:drawing>
                      </w:r>
                    </w:p>
                  </w:txbxContent>
                </v:textbox>
              </v:shape>
            </w:pict>
          </mc:Fallback>
        </mc:AlternateContent>
      </w:r>
      <w:r w:rsidR="007A32DA">
        <w:t xml:space="preserve"> </w:t>
      </w:r>
      <w:r w:rsidR="00975102">
        <w:t>Öffentliche Bekanntmachung</w:t>
      </w:r>
    </w:p>
    <w:p w:rsidR="00975102" w:rsidRDefault="00975102">
      <w:pPr>
        <w:pStyle w:val="berschrift3"/>
        <w:ind w:left="1276"/>
        <w:jc w:val="center"/>
      </w:pPr>
      <w:r>
        <w:t>der Stadt Brakel</w:t>
      </w:r>
    </w:p>
    <w:p w:rsidR="00975102" w:rsidRDefault="00975102">
      <w:pPr>
        <w:pStyle w:val="berschrift2"/>
        <w:ind w:left="1276" w:right="-2"/>
        <w:rPr>
          <w:sz w:val="20"/>
        </w:rPr>
      </w:pPr>
    </w:p>
    <w:p w:rsidR="009249C1" w:rsidRPr="009249C1" w:rsidRDefault="009249C1" w:rsidP="009249C1"/>
    <w:p w:rsidR="009249C1" w:rsidRDefault="009249C1" w:rsidP="009249C1"/>
    <w:p w:rsidR="009249C1" w:rsidRDefault="009249C1" w:rsidP="009249C1">
      <w:pPr>
        <w:numPr>
          <w:ilvl w:val="0"/>
          <w:numId w:val="3"/>
        </w:numPr>
        <w:jc w:val="both"/>
        <w:rPr>
          <w:rFonts w:ascii="Verdana" w:hAnsi="Verdana"/>
          <w:b/>
          <w:sz w:val="22"/>
          <w:u w:val="single"/>
        </w:rPr>
      </w:pPr>
      <w:r>
        <w:rPr>
          <w:rFonts w:ascii="Verdana" w:hAnsi="Verdana"/>
          <w:b/>
          <w:sz w:val="22"/>
          <w:u w:val="single"/>
        </w:rPr>
        <w:t>Haushaltssatzung der Stadt B</w:t>
      </w:r>
      <w:r w:rsidR="00260BCE">
        <w:rPr>
          <w:rFonts w:ascii="Verdana" w:hAnsi="Verdana"/>
          <w:b/>
          <w:sz w:val="22"/>
          <w:u w:val="single"/>
        </w:rPr>
        <w:t>rakel für das Haushaltsjahr 2021</w:t>
      </w:r>
    </w:p>
    <w:p w:rsidR="009249C1" w:rsidRDefault="009249C1" w:rsidP="009249C1">
      <w:pPr>
        <w:ind w:left="1080"/>
        <w:jc w:val="both"/>
        <w:rPr>
          <w:rFonts w:ascii="Verdana" w:hAnsi="Verdana"/>
          <w:b/>
          <w:sz w:val="22"/>
          <w:u w:val="single"/>
        </w:rPr>
      </w:pPr>
    </w:p>
    <w:p w:rsidR="00F73EE2" w:rsidRDefault="0070108B" w:rsidP="0070108B">
      <w:pPr>
        <w:widowControl w:val="0"/>
        <w:overflowPunct w:val="0"/>
        <w:autoSpaceDE w:val="0"/>
        <w:autoSpaceDN w:val="0"/>
        <w:adjustRightInd w:val="0"/>
        <w:spacing w:after="200" w:line="276" w:lineRule="auto"/>
        <w:jc w:val="both"/>
        <w:textAlignment w:val="baseline"/>
        <w:rPr>
          <w:rFonts w:ascii="Verdana" w:hAnsi="Verdana"/>
          <w:sz w:val="22"/>
          <w:szCs w:val="22"/>
          <w:lang w:eastAsia="en-US"/>
        </w:rPr>
      </w:pPr>
      <w:r w:rsidRPr="0070108B">
        <w:rPr>
          <w:rFonts w:ascii="Verdana" w:hAnsi="Verdana"/>
          <w:sz w:val="22"/>
          <w:szCs w:val="22"/>
          <w:lang w:eastAsia="en-US"/>
        </w:rPr>
        <w:t>Aufgrund der §§ 78 ff. der Gemeindeordnung für das Land Nordrhein-Westfalen in der Fassung der Bekanntmachung vom 14. Juli 1994 (GV. NRW. S.</w:t>
      </w:r>
      <w:r w:rsidR="00E442E9">
        <w:rPr>
          <w:rFonts w:ascii="Verdana" w:hAnsi="Verdana"/>
          <w:sz w:val="22"/>
          <w:szCs w:val="22"/>
          <w:lang w:eastAsia="en-US"/>
        </w:rPr>
        <w:t xml:space="preserve"> 666), in der zurz</w:t>
      </w:r>
      <w:r w:rsidRPr="0070108B">
        <w:rPr>
          <w:rFonts w:ascii="Verdana" w:hAnsi="Verdana"/>
          <w:sz w:val="22"/>
          <w:szCs w:val="22"/>
          <w:lang w:eastAsia="en-US"/>
        </w:rPr>
        <w:t>eit gültigen Fassung, hat der Rat der S</w:t>
      </w:r>
      <w:r w:rsidR="00260BCE">
        <w:rPr>
          <w:rFonts w:ascii="Verdana" w:hAnsi="Verdana"/>
          <w:sz w:val="22"/>
          <w:szCs w:val="22"/>
          <w:lang w:eastAsia="en-US"/>
        </w:rPr>
        <w:t>tadt Brakel mit Beschluss vom 18.03.2021</w:t>
      </w:r>
      <w:r w:rsidRPr="0070108B">
        <w:rPr>
          <w:rFonts w:ascii="Verdana" w:hAnsi="Verdana"/>
          <w:sz w:val="22"/>
          <w:szCs w:val="22"/>
          <w:lang w:eastAsia="en-US"/>
        </w:rPr>
        <w:t xml:space="preserve"> folgende Haushaltssatzung erlassen:</w:t>
      </w:r>
    </w:p>
    <w:p w:rsidR="00260BCE" w:rsidRPr="0070108B" w:rsidRDefault="00260BCE" w:rsidP="0070108B">
      <w:pPr>
        <w:widowControl w:val="0"/>
        <w:overflowPunct w:val="0"/>
        <w:autoSpaceDE w:val="0"/>
        <w:autoSpaceDN w:val="0"/>
        <w:adjustRightInd w:val="0"/>
        <w:spacing w:after="200" w:line="276" w:lineRule="auto"/>
        <w:jc w:val="both"/>
        <w:textAlignment w:val="baseline"/>
        <w:rPr>
          <w:rFonts w:ascii="Verdana" w:hAnsi="Verdana"/>
          <w:sz w:val="22"/>
          <w:szCs w:val="22"/>
          <w:lang w:eastAsia="en-US"/>
        </w:rPr>
      </w:pPr>
    </w:p>
    <w:p w:rsidR="00260BCE" w:rsidRPr="00260BCE" w:rsidRDefault="00260BCE" w:rsidP="00260BCE">
      <w:pPr>
        <w:spacing w:after="200" w:line="276" w:lineRule="auto"/>
        <w:jc w:val="both"/>
        <w:rPr>
          <w:rFonts w:ascii="Verdana" w:eastAsiaTheme="minorHAnsi" w:hAnsi="Verdana" w:cstheme="minorBidi"/>
          <w:sz w:val="22"/>
          <w:szCs w:val="22"/>
          <w:lang w:eastAsia="en-US"/>
        </w:rPr>
      </w:pPr>
    </w:p>
    <w:p w:rsidR="00260BCE" w:rsidRPr="00260BCE" w:rsidRDefault="00260BCE" w:rsidP="00260BCE">
      <w:pPr>
        <w:spacing w:after="200" w:line="276" w:lineRule="auto"/>
        <w:jc w:val="center"/>
        <w:rPr>
          <w:rFonts w:ascii="Verdana" w:eastAsiaTheme="minorHAnsi" w:hAnsi="Verdana" w:cstheme="minorBidi"/>
          <w:b/>
          <w:sz w:val="22"/>
          <w:szCs w:val="22"/>
          <w:lang w:eastAsia="en-US"/>
        </w:rPr>
      </w:pPr>
      <w:r w:rsidRPr="00260BCE">
        <w:rPr>
          <w:rFonts w:ascii="Verdana" w:eastAsiaTheme="minorHAnsi" w:hAnsi="Verdana" w:cstheme="minorBidi"/>
          <w:b/>
          <w:sz w:val="22"/>
          <w:szCs w:val="22"/>
          <w:lang w:eastAsia="en-US"/>
        </w:rPr>
        <w:t>§ 1</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Der Haushaltsplan für das Haushaltsjahr 2021, der die für die Erfüllung der Aufgaben der Gemeinde voraussichtlich erzielbaren Erträge und entstehenden Aufwendungen sowie eingehenden Einzahlungen und zu leistenden Auszahlungen und notwendigen Verpflichtungsermächtigungen enthält, wird</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 xml:space="preserve">im </w:t>
      </w:r>
      <w:r w:rsidRPr="00260BCE">
        <w:rPr>
          <w:rFonts w:ascii="Verdana" w:eastAsiaTheme="minorHAnsi" w:hAnsi="Verdana" w:cstheme="minorBidi"/>
          <w:b/>
          <w:sz w:val="22"/>
          <w:szCs w:val="22"/>
          <w:lang w:eastAsia="en-US"/>
        </w:rPr>
        <w:t>Ergebnisplan</w:t>
      </w:r>
      <w:r w:rsidRPr="00260BCE">
        <w:rPr>
          <w:rFonts w:ascii="Verdana" w:eastAsiaTheme="minorHAnsi" w:hAnsi="Verdana" w:cstheme="minorBidi"/>
          <w:sz w:val="22"/>
          <w:szCs w:val="22"/>
          <w:lang w:eastAsia="en-US"/>
        </w:rPr>
        <w:t xml:space="preserve"> mit</w:t>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Gesamtbetrag der Erträge auf</w:t>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u w:val="single"/>
          <w:lang w:eastAsia="en-US"/>
        </w:rPr>
        <w:t>34.963.923,11</w:t>
      </w:r>
      <w:r w:rsidRPr="00260BCE">
        <w:rPr>
          <w:rFonts w:ascii="Verdana" w:eastAsiaTheme="minorHAnsi" w:hAnsi="Verdana" w:cstheme="minorBidi"/>
          <w:sz w:val="22"/>
          <w:szCs w:val="22"/>
          <w:lang w:eastAsia="en-US"/>
        </w:rPr>
        <w:t xml:space="preserve"> EUR </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Gesamtbetrag der Aufwendungen auf</w:t>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u w:val="single"/>
          <w:lang w:eastAsia="en-US"/>
        </w:rPr>
        <w:t>36.788.124,27</w:t>
      </w:r>
      <w:r w:rsidRPr="00260BCE">
        <w:rPr>
          <w:rFonts w:ascii="Verdana" w:eastAsiaTheme="minorHAnsi" w:hAnsi="Verdana" w:cstheme="minorBidi"/>
          <w:sz w:val="22"/>
          <w:szCs w:val="22"/>
          <w:lang w:eastAsia="en-US"/>
        </w:rPr>
        <w:t xml:space="preserve"> EUR </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 xml:space="preserve">im </w:t>
      </w:r>
      <w:r w:rsidRPr="00260BCE">
        <w:rPr>
          <w:rFonts w:ascii="Verdana" w:eastAsiaTheme="minorHAnsi" w:hAnsi="Verdana" w:cstheme="minorBidi"/>
          <w:b/>
          <w:sz w:val="22"/>
          <w:szCs w:val="22"/>
          <w:lang w:eastAsia="en-US"/>
        </w:rPr>
        <w:t>Finanzplan</w:t>
      </w:r>
      <w:r w:rsidRPr="00260BCE">
        <w:rPr>
          <w:rFonts w:ascii="Verdana" w:eastAsiaTheme="minorHAnsi" w:hAnsi="Verdana" w:cstheme="minorBidi"/>
          <w:sz w:val="22"/>
          <w:szCs w:val="22"/>
          <w:lang w:eastAsia="en-US"/>
        </w:rPr>
        <w:t xml:space="preserve"> mit</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 xml:space="preserve">dem Gesamtbetrag der Einzahlungen </w:t>
      </w:r>
      <w:proofErr w:type="gramStart"/>
      <w:r w:rsidRPr="00260BCE">
        <w:rPr>
          <w:rFonts w:ascii="Verdana" w:eastAsiaTheme="minorHAnsi" w:hAnsi="Verdana" w:cstheme="minorBidi"/>
          <w:sz w:val="22"/>
          <w:szCs w:val="22"/>
          <w:lang w:eastAsia="en-US"/>
        </w:rPr>
        <w:t>aus laufender</w:t>
      </w:r>
      <w:proofErr w:type="gramEnd"/>
      <w:r w:rsidRPr="00260BCE">
        <w:rPr>
          <w:rFonts w:ascii="Verdana" w:eastAsiaTheme="minorHAnsi" w:hAnsi="Verdana" w:cstheme="minorBidi"/>
          <w:sz w:val="22"/>
          <w:szCs w:val="22"/>
          <w:lang w:eastAsia="en-US"/>
        </w:rPr>
        <w:t xml:space="preserve"> </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 xml:space="preserve">Verwaltungstätigkeit auf </w:t>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u w:val="single"/>
          <w:lang w:eastAsia="en-US"/>
        </w:rPr>
        <w:t>31.853.204,11</w:t>
      </w:r>
      <w:r w:rsidRPr="00260BCE">
        <w:rPr>
          <w:rFonts w:ascii="Verdana" w:eastAsiaTheme="minorHAnsi" w:hAnsi="Verdana" w:cstheme="minorBidi"/>
          <w:sz w:val="22"/>
          <w:szCs w:val="22"/>
          <w:lang w:eastAsia="en-US"/>
        </w:rPr>
        <w:t xml:space="preserve"> EUR</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 xml:space="preserve">dem Gesamtbetrag der Auszahlungen </w:t>
      </w:r>
      <w:proofErr w:type="gramStart"/>
      <w:r w:rsidRPr="00260BCE">
        <w:rPr>
          <w:rFonts w:ascii="Verdana" w:eastAsiaTheme="minorHAnsi" w:hAnsi="Verdana" w:cstheme="minorBidi"/>
          <w:sz w:val="22"/>
          <w:szCs w:val="22"/>
          <w:lang w:eastAsia="en-US"/>
        </w:rPr>
        <w:t>aus laufender</w:t>
      </w:r>
      <w:proofErr w:type="gramEnd"/>
      <w:r w:rsidRPr="00260BCE">
        <w:rPr>
          <w:rFonts w:ascii="Verdana" w:eastAsiaTheme="minorHAnsi" w:hAnsi="Verdana" w:cstheme="minorBidi"/>
          <w:sz w:val="22"/>
          <w:szCs w:val="22"/>
          <w:lang w:eastAsia="en-US"/>
        </w:rPr>
        <w:t xml:space="preserve"> </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Verwaltungstätigkeit auf</w:t>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u w:val="single"/>
          <w:lang w:eastAsia="en-US"/>
        </w:rPr>
        <w:t>35.324.374,01</w:t>
      </w:r>
      <w:r w:rsidRPr="00260BCE">
        <w:rPr>
          <w:rFonts w:ascii="Verdana" w:eastAsiaTheme="minorHAnsi" w:hAnsi="Verdana" w:cstheme="minorBidi"/>
          <w:sz w:val="22"/>
          <w:szCs w:val="22"/>
          <w:lang w:eastAsia="en-US"/>
        </w:rPr>
        <w:t xml:space="preserve"> EUR</w:t>
      </w:r>
    </w:p>
    <w:p w:rsidR="00260BCE" w:rsidRDefault="00260BCE" w:rsidP="00260BCE">
      <w:pPr>
        <w:spacing w:after="200" w:line="276" w:lineRule="auto"/>
        <w:jc w:val="both"/>
        <w:rPr>
          <w:rFonts w:ascii="Verdana" w:eastAsiaTheme="minorHAnsi" w:hAnsi="Verdana" w:cstheme="minorBidi"/>
          <w:sz w:val="22"/>
          <w:szCs w:val="22"/>
          <w:lang w:eastAsia="en-US"/>
        </w:rPr>
      </w:pPr>
    </w:p>
    <w:p w:rsidR="00260BCE" w:rsidRPr="00260BCE" w:rsidRDefault="00260BCE" w:rsidP="00260BCE">
      <w:pPr>
        <w:spacing w:after="200" w:line="276" w:lineRule="auto"/>
        <w:jc w:val="both"/>
        <w:rPr>
          <w:rFonts w:ascii="Verdana" w:eastAsiaTheme="minorHAnsi" w:hAnsi="Verdana" w:cstheme="minorBidi"/>
          <w:sz w:val="22"/>
          <w:szCs w:val="22"/>
          <w:lang w:eastAsia="en-US"/>
        </w:rPr>
      </w:pP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lastRenderedPageBreak/>
        <w:t>dem Gesamtbetrag der Einzahlungen aus der Investitions-</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Tätigkeit</w:t>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t xml:space="preserve"> </w:t>
      </w:r>
      <w:r w:rsidRPr="00260BCE">
        <w:rPr>
          <w:rFonts w:ascii="Verdana" w:eastAsiaTheme="minorHAnsi" w:hAnsi="Verdana" w:cstheme="minorBidi"/>
          <w:sz w:val="22"/>
          <w:szCs w:val="22"/>
          <w:u w:val="single"/>
          <w:lang w:eastAsia="en-US"/>
        </w:rPr>
        <w:t>4.272.424,10</w:t>
      </w:r>
      <w:r w:rsidRPr="00260BCE">
        <w:rPr>
          <w:rFonts w:ascii="Verdana" w:eastAsiaTheme="minorHAnsi" w:hAnsi="Verdana" w:cstheme="minorBidi"/>
          <w:sz w:val="22"/>
          <w:szCs w:val="22"/>
          <w:lang w:eastAsia="en-US"/>
        </w:rPr>
        <w:t xml:space="preserve"> EUR</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dem Gesamtbetrag der Auszahlungen aus der Investitions-</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Tätigkeit</w:t>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t xml:space="preserve"> </w:t>
      </w:r>
      <w:r w:rsidRPr="00260BCE">
        <w:rPr>
          <w:rFonts w:ascii="Verdana" w:eastAsiaTheme="minorHAnsi" w:hAnsi="Verdana" w:cstheme="minorBidi"/>
          <w:sz w:val="22"/>
          <w:szCs w:val="22"/>
          <w:u w:val="single"/>
          <w:lang w:eastAsia="en-US"/>
        </w:rPr>
        <w:t>6.828.490,00</w:t>
      </w:r>
      <w:r w:rsidRPr="00260BCE">
        <w:rPr>
          <w:rFonts w:ascii="Verdana" w:eastAsiaTheme="minorHAnsi" w:hAnsi="Verdana" w:cstheme="minorBidi"/>
          <w:sz w:val="22"/>
          <w:szCs w:val="22"/>
          <w:lang w:eastAsia="en-US"/>
        </w:rPr>
        <w:t xml:space="preserve"> EUR</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dem Gesamtbetrag der Einzahlungen aus Finanzierungs-</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proofErr w:type="spellStart"/>
      <w:r w:rsidRPr="00260BCE">
        <w:rPr>
          <w:rFonts w:ascii="Verdana" w:eastAsiaTheme="minorHAnsi" w:hAnsi="Verdana" w:cstheme="minorBidi"/>
          <w:sz w:val="22"/>
          <w:szCs w:val="22"/>
          <w:lang w:eastAsia="en-US"/>
        </w:rPr>
        <w:t>tätigkeit</w:t>
      </w:r>
      <w:proofErr w:type="spellEnd"/>
      <w:r w:rsidRPr="00260BCE">
        <w:rPr>
          <w:rFonts w:ascii="Verdana" w:eastAsiaTheme="minorHAnsi" w:hAnsi="Verdana" w:cstheme="minorBidi"/>
          <w:sz w:val="22"/>
          <w:szCs w:val="22"/>
          <w:lang w:eastAsia="en-US"/>
        </w:rPr>
        <w:t xml:space="preserve"> </w:t>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u w:val="single"/>
          <w:lang w:eastAsia="en-US"/>
        </w:rPr>
        <w:t>1.000.000,00</w:t>
      </w:r>
      <w:r w:rsidRPr="00260BCE">
        <w:rPr>
          <w:rFonts w:ascii="Verdana" w:eastAsiaTheme="minorHAnsi" w:hAnsi="Verdana" w:cstheme="minorBidi"/>
          <w:sz w:val="22"/>
          <w:szCs w:val="22"/>
          <w:lang w:eastAsia="en-US"/>
        </w:rPr>
        <w:t xml:space="preserve"> EUR</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dem Gesamtbetrag der Auszahlungen aus Finanzierungs-</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proofErr w:type="spellStart"/>
      <w:r w:rsidRPr="00260BCE">
        <w:rPr>
          <w:rFonts w:ascii="Verdana" w:eastAsiaTheme="minorHAnsi" w:hAnsi="Verdana" w:cstheme="minorBidi"/>
          <w:sz w:val="22"/>
          <w:szCs w:val="22"/>
          <w:lang w:eastAsia="en-US"/>
        </w:rPr>
        <w:t>tätigkeit</w:t>
      </w:r>
      <w:proofErr w:type="spellEnd"/>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u w:val="single"/>
          <w:lang w:eastAsia="en-US"/>
        </w:rPr>
        <w:t>1.661.705,73</w:t>
      </w:r>
      <w:r w:rsidRPr="00260BCE">
        <w:rPr>
          <w:rFonts w:ascii="Verdana" w:eastAsiaTheme="minorHAnsi" w:hAnsi="Verdana" w:cstheme="minorBidi"/>
          <w:sz w:val="22"/>
          <w:szCs w:val="22"/>
          <w:lang w:eastAsia="en-US"/>
        </w:rPr>
        <w:t xml:space="preserve"> EUR</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festgesetzt.</w:t>
      </w:r>
    </w:p>
    <w:p w:rsidR="00260BCE" w:rsidRPr="00260BCE" w:rsidRDefault="00260BCE" w:rsidP="00260BCE">
      <w:pPr>
        <w:spacing w:after="200" w:line="276" w:lineRule="auto"/>
        <w:jc w:val="center"/>
        <w:rPr>
          <w:rFonts w:ascii="Verdana" w:eastAsiaTheme="minorHAnsi" w:hAnsi="Verdana" w:cstheme="minorBidi"/>
          <w:b/>
          <w:sz w:val="22"/>
          <w:szCs w:val="22"/>
          <w:lang w:eastAsia="en-US"/>
        </w:rPr>
      </w:pPr>
      <w:r w:rsidRPr="00260BCE">
        <w:rPr>
          <w:rFonts w:ascii="Verdana" w:eastAsiaTheme="minorHAnsi" w:hAnsi="Verdana" w:cstheme="minorBidi"/>
          <w:b/>
          <w:sz w:val="22"/>
          <w:szCs w:val="22"/>
          <w:lang w:eastAsia="en-US"/>
        </w:rPr>
        <w:t>§ 2</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b/>
          <w:sz w:val="22"/>
          <w:szCs w:val="22"/>
          <w:lang w:eastAsia="en-US"/>
        </w:rPr>
        <w:t>Kredite</w:t>
      </w:r>
      <w:r w:rsidRPr="00260BCE">
        <w:rPr>
          <w:rFonts w:ascii="Verdana" w:eastAsiaTheme="minorHAnsi" w:hAnsi="Verdana" w:cstheme="minorBidi"/>
          <w:sz w:val="22"/>
          <w:szCs w:val="22"/>
          <w:lang w:eastAsia="en-US"/>
        </w:rPr>
        <w:t xml:space="preserve"> für Investitionen werden in Höhe von 1.000.000,00 € veranschlagt.</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p>
    <w:p w:rsidR="00260BCE" w:rsidRPr="00260BCE" w:rsidRDefault="00260BCE" w:rsidP="00260BCE">
      <w:pPr>
        <w:spacing w:after="200" w:line="276" w:lineRule="auto"/>
        <w:jc w:val="both"/>
        <w:rPr>
          <w:rFonts w:ascii="Verdana" w:eastAsiaTheme="minorHAnsi" w:hAnsi="Verdana" w:cstheme="minorBidi"/>
          <w:sz w:val="22"/>
          <w:szCs w:val="22"/>
          <w:lang w:eastAsia="en-US"/>
        </w:rPr>
      </w:pPr>
    </w:p>
    <w:p w:rsidR="00260BCE" w:rsidRPr="00260BCE" w:rsidRDefault="00260BCE" w:rsidP="00260BCE">
      <w:pPr>
        <w:spacing w:after="200" w:line="276" w:lineRule="auto"/>
        <w:jc w:val="center"/>
        <w:rPr>
          <w:rFonts w:ascii="Verdana" w:eastAsiaTheme="minorHAnsi" w:hAnsi="Verdana" w:cstheme="minorBidi"/>
          <w:b/>
          <w:sz w:val="22"/>
          <w:szCs w:val="22"/>
          <w:lang w:eastAsia="en-US"/>
        </w:rPr>
      </w:pPr>
      <w:r w:rsidRPr="00260BCE">
        <w:rPr>
          <w:rFonts w:ascii="Verdana" w:eastAsiaTheme="minorHAnsi" w:hAnsi="Verdana" w:cstheme="minorBidi"/>
          <w:b/>
          <w:sz w:val="22"/>
          <w:szCs w:val="22"/>
          <w:lang w:eastAsia="en-US"/>
        </w:rPr>
        <w:t>§ 3</w:t>
      </w:r>
    </w:p>
    <w:p w:rsidR="00260BCE" w:rsidRPr="00260BCE" w:rsidRDefault="00260BCE" w:rsidP="00260BCE">
      <w:pPr>
        <w:spacing w:after="200" w:line="276" w:lineRule="auto"/>
        <w:jc w:val="center"/>
        <w:rPr>
          <w:rFonts w:ascii="Verdana" w:eastAsiaTheme="minorHAnsi" w:hAnsi="Verdana" w:cstheme="minorBidi"/>
          <w:b/>
          <w:sz w:val="22"/>
          <w:szCs w:val="22"/>
          <w:lang w:eastAsia="en-US"/>
        </w:rPr>
      </w:pP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 xml:space="preserve">Der Gesamtbetrag der </w:t>
      </w:r>
      <w:r w:rsidRPr="00260BCE">
        <w:rPr>
          <w:rFonts w:ascii="Verdana" w:eastAsiaTheme="minorHAnsi" w:hAnsi="Verdana" w:cstheme="minorBidi"/>
          <w:b/>
          <w:sz w:val="22"/>
          <w:szCs w:val="22"/>
          <w:lang w:eastAsia="en-US"/>
        </w:rPr>
        <w:t>Verpflichtungsermächtigungen,</w:t>
      </w:r>
      <w:r w:rsidRPr="00260BCE">
        <w:rPr>
          <w:rFonts w:ascii="Verdana" w:eastAsiaTheme="minorHAnsi" w:hAnsi="Verdana" w:cstheme="minorBidi"/>
          <w:sz w:val="22"/>
          <w:szCs w:val="22"/>
          <w:lang w:eastAsia="en-US"/>
        </w:rPr>
        <w:t xml:space="preserve"> der zur Leistung von Investitionsauszahlungen in künftigen Jahren erforderlich ist, wird auf</w:t>
      </w:r>
    </w:p>
    <w:p w:rsidR="00260BCE" w:rsidRPr="00260BCE" w:rsidRDefault="00260BCE" w:rsidP="00260BCE">
      <w:pPr>
        <w:spacing w:after="200" w:line="276" w:lineRule="auto"/>
        <w:jc w:val="center"/>
        <w:rPr>
          <w:rFonts w:ascii="Verdana" w:eastAsiaTheme="minorHAnsi" w:hAnsi="Verdana" w:cstheme="minorBidi"/>
          <w:color w:val="000000"/>
          <w:sz w:val="22"/>
          <w:szCs w:val="22"/>
          <w:lang w:eastAsia="en-US"/>
        </w:rPr>
      </w:pPr>
    </w:p>
    <w:p w:rsidR="00260BCE" w:rsidRPr="00260BCE" w:rsidRDefault="00260BCE" w:rsidP="00260BCE">
      <w:pPr>
        <w:spacing w:after="200" w:line="276" w:lineRule="auto"/>
        <w:jc w:val="center"/>
        <w:rPr>
          <w:rFonts w:ascii="Verdana" w:eastAsiaTheme="minorHAnsi" w:hAnsi="Verdana" w:cstheme="minorBidi"/>
          <w:color w:val="000000"/>
          <w:sz w:val="22"/>
          <w:szCs w:val="22"/>
          <w:lang w:eastAsia="en-US"/>
        </w:rPr>
      </w:pPr>
      <w:r w:rsidRPr="00260BCE">
        <w:rPr>
          <w:rFonts w:ascii="Verdana" w:eastAsiaTheme="minorHAnsi" w:hAnsi="Verdana" w:cstheme="minorBidi"/>
          <w:color w:val="000000"/>
          <w:sz w:val="22"/>
          <w:szCs w:val="22"/>
          <w:u w:val="single"/>
          <w:lang w:eastAsia="en-US"/>
        </w:rPr>
        <w:t>1.746.500,00</w:t>
      </w:r>
      <w:r w:rsidRPr="00260BCE">
        <w:rPr>
          <w:rFonts w:ascii="Verdana" w:eastAsiaTheme="minorHAnsi" w:hAnsi="Verdana" w:cstheme="minorBidi"/>
          <w:color w:val="000000"/>
          <w:sz w:val="22"/>
          <w:szCs w:val="22"/>
          <w:lang w:eastAsia="en-US"/>
        </w:rPr>
        <w:t xml:space="preserve"> EUR</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festgesetzt.</w:t>
      </w:r>
    </w:p>
    <w:p w:rsidR="00260BCE" w:rsidRDefault="00260BCE" w:rsidP="00260BCE">
      <w:pPr>
        <w:spacing w:after="200" w:line="276" w:lineRule="auto"/>
        <w:rPr>
          <w:rFonts w:ascii="Verdana" w:eastAsiaTheme="minorHAnsi" w:hAnsi="Verdana" w:cstheme="minorBidi"/>
          <w:sz w:val="22"/>
          <w:szCs w:val="22"/>
          <w:lang w:eastAsia="en-US"/>
        </w:rPr>
      </w:pPr>
    </w:p>
    <w:p w:rsidR="00260BCE" w:rsidRDefault="00260BCE" w:rsidP="00260BCE">
      <w:pPr>
        <w:spacing w:after="200" w:line="276" w:lineRule="auto"/>
        <w:rPr>
          <w:rFonts w:ascii="Verdana" w:eastAsiaTheme="minorHAnsi" w:hAnsi="Verdana" w:cstheme="minorBidi"/>
          <w:sz w:val="22"/>
          <w:szCs w:val="22"/>
          <w:lang w:eastAsia="en-US"/>
        </w:rPr>
      </w:pPr>
    </w:p>
    <w:p w:rsidR="00260BCE" w:rsidRDefault="00260BCE" w:rsidP="00260BCE">
      <w:pPr>
        <w:spacing w:after="200" w:line="276" w:lineRule="auto"/>
        <w:rPr>
          <w:rFonts w:ascii="Verdana" w:eastAsiaTheme="minorHAnsi" w:hAnsi="Verdana" w:cstheme="minorBidi"/>
          <w:sz w:val="22"/>
          <w:szCs w:val="22"/>
          <w:lang w:eastAsia="en-US"/>
        </w:rPr>
      </w:pPr>
    </w:p>
    <w:p w:rsidR="00260BCE" w:rsidRPr="00260BCE" w:rsidRDefault="00260BCE" w:rsidP="00260BCE">
      <w:pPr>
        <w:spacing w:after="200" w:line="276" w:lineRule="auto"/>
        <w:rPr>
          <w:rFonts w:ascii="Verdana" w:eastAsiaTheme="minorHAnsi" w:hAnsi="Verdana" w:cstheme="minorBidi"/>
          <w:sz w:val="22"/>
          <w:szCs w:val="22"/>
          <w:lang w:eastAsia="en-US"/>
        </w:rPr>
      </w:pPr>
    </w:p>
    <w:p w:rsidR="00260BCE" w:rsidRPr="00260BCE" w:rsidRDefault="00260BCE" w:rsidP="00260BCE">
      <w:pPr>
        <w:spacing w:after="200" w:line="276" w:lineRule="auto"/>
        <w:jc w:val="center"/>
        <w:rPr>
          <w:rFonts w:ascii="Verdana" w:eastAsiaTheme="minorHAnsi" w:hAnsi="Verdana" w:cstheme="minorBidi"/>
          <w:b/>
          <w:sz w:val="22"/>
          <w:szCs w:val="22"/>
          <w:vertAlign w:val="superscript"/>
          <w:lang w:eastAsia="en-US"/>
        </w:rPr>
      </w:pPr>
      <w:r w:rsidRPr="00260BCE">
        <w:rPr>
          <w:rFonts w:ascii="Verdana" w:eastAsiaTheme="minorHAnsi" w:hAnsi="Verdana" w:cstheme="minorBidi"/>
          <w:b/>
          <w:sz w:val="22"/>
          <w:szCs w:val="22"/>
          <w:lang w:eastAsia="en-US"/>
        </w:rPr>
        <w:lastRenderedPageBreak/>
        <w:t>§ 4</w:t>
      </w:r>
    </w:p>
    <w:p w:rsidR="00260BCE" w:rsidRPr="00260BCE" w:rsidRDefault="00260BCE" w:rsidP="00260BCE">
      <w:pPr>
        <w:spacing w:after="200" w:line="276" w:lineRule="auto"/>
        <w:jc w:val="center"/>
        <w:rPr>
          <w:rFonts w:ascii="Verdana" w:eastAsiaTheme="minorHAnsi" w:hAnsi="Verdana" w:cstheme="minorBidi"/>
          <w:sz w:val="22"/>
          <w:szCs w:val="22"/>
          <w:vertAlign w:val="superscript"/>
          <w:lang w:eastAsia="en-US"/>
        </w:rPr>
      </w:pP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 xml:space="preserve">Die </w:t>
      </w:r>
      <w:r w:rsidRPr="00260BCE">
        <w:rPr>
          <w:rFonts w:ascii="Verdana" w:eastAsiaTheme="minorHAnsi" w:hAnsi="Verdana" w:cstheme="minorBidi"/>
          <w:b/>
          <w:sz w:val="22"/>
          <w:szCs w:val="22"/>
          <w:lang w:eastAsia="en-US"/>
        </w:rPr>
        <w:t xml:space="preserve">Inanspruchnahme der Ausgleichsrücklage </w:t>
      </w:r>
      <w:r w:rsidRPr="00260BCE">
        <w:rPr>
          <w:rFonts w:ascii="Verdana" w:eastAsiaTheme="minorHAnsi" w:hAnsi="Verdana" w:cstheme="minorBidi"/>
          <w:sz w:val="22"/>
          <w:szCs w:val="22"/>
          <w:lang w:eastAsia="en-US"/>
        </w:rPr>
        <w:t>aufgrund des voraussichtlichen Jahresergebnisses im Ergebnisplans wird auf</w:t>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t xml:space="preserve">        </w:t>
      </w:r>
    </w:p>
    <w:p w:rsidR="00260BCE" w:rsidRPr="00260BCE" w:rsidRDefault="00260BCE" w:rsidP="00260BCE">
      <w:pPr>
        <w:spacing w:after="200" w:line="276" w:lineRule="auto"/>
        <w:ind w:left="6372" w:hanging="2119"/>
        <w:rPr>
          <w:rFonts w:ascii="Verdana" w:eastAsiaTheme="minorHAnsi" w:hAnsi="Verdana" w:cstheme="minorBidi"/>
          <w:sz w:val="22"/>
          <w:szCs w:val="22"/>
          <w:lang w:eastAsia="en-US"/>
        </w:rPr>
      </w:pPr>
      <w:r w:rsidRPr="00260BCE">
        <w:rPr>
          <w:rFonts w:ascii="Verdana" w:eastAsiaTheme="minorHAnsi" w:hAnsi="Verdana" w:cstheme="minorBidi"/>
          <w:sz w:val="22"/>
          <w:szCs w:val="22"/>
          <w:u w:val="single"/>
          <w:lang w:eastAsia="en-US"/>
        </w:rPr>
        <w:t>1.824.201,16</w:t>
      </w:r>
      <w:r w:rsidRPr="00260BCE">
        <w:rPr>
          <w:rFonts w:ascii="Verdana" w:eastAsiaTheme="minorHAnsi" w:hAnsi="Verdana" w:cstheme="minorBidi"/>
          <w:sz w:val="22"/>
          <w:szCs w:val="22"/>
          <w:lang w:eastAsia="en-US"/>
        </w:rPr>
        <w:t xml:space="preserve"> EUR</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festgesetzt.</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p>
    <w:p w:rsidR="00260BCE" w:rsidRPr="00260BCE" w:rsidRDefault="00260BCE" w:rsidP="00260BCE">
      <w:pPr>
        <w:spacing w:after="200" w:line="276" w:lineRule="auto"/>
        <w:jc w:val="center"/>
        <w:rPr>
          <w:rFonts w:ascii="Verdana" w:eastAsiaTheme="minorHAnsi" w:hAnsi="Verdana" w:cstheme="minorBidi"/>
          <w:b/>
          <w:sz w:val="22"/>
          <w:szCs w:val="22"/>
          <w:vertAlign w:val="superscript"/>
          <w:lang w:eastAsia="en-US"/>
        </w:rPr>
      </w:pPr>
      <w:r w:rsidRPr="00260BCE">
        <w:rPr>
          <w:rFonts w:ascii="Verdana" w:eastAsiaTheme="minorHAnsi" w:hAnsi="Verdana" w:cstheme="minorBidi"/>
          <w:b/>
          <w:sz w:val="22"/>
          <w:szCs w:val="22"/>
          <w:lang w:eastAsia="en-US"/>
        </w:rPr>
        <w:t>§ 5</w:t>
      </w:r>
    </w:p>
    <w:p w:rsidR="00260BCE" w:rsidRPr="00260BCE" w:rsidRDefault="00260BCE" w:rsidP="00260BCE">
      <w:pPr>
        <w:spacing w:after="200" w:line="276" w:lineRule="auto"/>
        <w:jc w:val="center"/>
        <w:rPr>
          <w:rFonts w:ascii="Verdana" w:eastAsiaTheme="minorHAnsi" w:hAnsi="Verdana" w:cstheme="minorBidi"/>
          <w:sz w:val="22"/>
          <w:szCs w:val="22"/>
          <w:vertAlign w:val="superscript"/>
          <w:lang w:eastAsia="en-US"/>
        </w:rPr>
      </w:pP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 xml:space="preserve">Der Höchstbetrag der Kredite, die zur </w:t>
      </w:r>
      <w:r w:rsidRPr="00260BCE">
        <w:rPr>
          <w:rFonts w:ascii="Verdana" w:eastAsiaTheme="minorHAnsi" w:hAnsi="Verdana" w:cstheme="minorBidi"/>
          <w:b/>
          <w:bCs/>
          <w:sz w:val="22"/>
          <w:szCs w:val="22"/>
          <w:lang w:eastAsia="en-US"/>
        </w:rPr>
        <w:t>Liquiditätssicherung</w:t>
      </w:r>
      <w:r w:rsidRPr="00260BCE">
        <w:rPr>
          <w:rFonts w:ascii="Verdana" w:eastAsiaTheme="minorHAnsi" w:hAnsi="Verdana" w:cstheme="minorBidi"/>
          <w:sz w:val="22"/>
          <w:szCs w:val="22"/>
          <w:lang w:eastAsia="en-US"/>
        </w:rPr>
        <w:t xml:space="preserve"> in Anspruch</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 xml:space="preserve">genommen werden dürfen, wird auf </w:t>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t xml:space="preserve">        </w:t>
      </w:r>
    </w:p>
    <w:p w:rsidR="00260BCE" w:rsidRPr="00260BCE" w:rsidRDefault="00260BCE" w:rsidP="00260BCE">
      <w:pPr>
        <w:spacing w:after="200" w:line="276" w:lineRule="auto"/>
        <w:ind w:left="4253"/>
        <w:rPr>
          <w:rFonts w:ascii="Verdana" w:eastAsiaTheme="minorHAnsi" w:hAnsi="Verdana" w:cstheme="minorBidi"/>
          <w:sz w:val="22"/>
          <w:szCs w:val="22"/>
          <w:lang w:eastAsia="en-US"/>
        </w:rPr>
      </w:pPr>
      <w:r w:rsidRPr="00260BCE">
        <w:rPr>
          <w:rFonts w:ascii="Verdana" w:eastAsiaTheme="minorHAnsi" w:hAnsi="Verdana" w:cstheme="minorBidi"/>
          <w:color w:val="000000"/>
          <w:sz w:val="22"/>
          <w:szCs w:val="22"/>
          <w:u w:val="single"/>
          <w:lang w:eastAsia="en-US"/>
        </w:rPr>
        <w:t>3.000.000,00</w:t>
      </w:r>
      <w:r w:rsidRPr="00260BCE">
        <w:rPr>
          <w:rFonts w:ascii="Verdana" w:eastAsiaTheme="minorHAnsi" w:hAnsi="Verdana" w:cstheme="minorBidi"/>
          <w:color w:val="000000"/>
          <w:sz w:val="22"/>
          <w:szCs w:val="22"/>
          <w:lang w:eastAsia="en-US"/>
        </w:rPr>
        <w:t xml:space="preserve"> EUR</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festgesetzt.</w:t>
      </w:r>
    </w:p>
    <w:p w:rsidR="00260BCE" w:rsidRPr="00260BCE" w:rsidRDefault="00260BCE" w:rsidP="00260BCE">
      <w:pPr>
        <w:spacing w:after="200" w:line="276" w:lineRule="auto"/>
        <w:jc w:val="center"/>
        <w:rPr>
          <w:rFonts w:ascii="Verdana" w:eastAsiaTheme="minorHAnsi" w:hAnsi="Verdana" w:cstheme="minorBidi"/>
          <w:b/>
          <w:sz w:val="22"/>
          <w:szCs w:val="22"/>
          <w:lang w:eastAsia="en-US"/>
        </w:rPr>
      </w:pPr>
    </w:p>
    <w:p w:rsidR="00260BCE" w:rsidRPr="00260BCE" w:rsidRDefault="00260BCE" w:rsidP="00260BCE">
      <w:pPr>
        <w:spacing w:after="200" w:line="276" w:lineRule="auto"/>
        <w:jc w:val="center"/>
        <w:rPr>
          <w:rFonts w:ascii="Verdana" w:eastAsiaTheme="minorHAnsi" w:hAnsi="Verdana" w:cstheme="minorBidi"/>
          <w:b/>
          <w:sz w:val="22"/>
          <w:szCs w:val="22"/>
          <w:vertAlign w:val="superscript"/>
          <w:lang w:eastAsia="en-US"/>
        </w:rPr>
      </w:pPr>
      <w:r w:rsidRPr="00260BCE">
        <w:rPr>
          <w:rFonts w:ascii="Verdana" w:eastAsiaTheme="minorHAnsi" w:hAnsi="Verdana" w:cstheme="minorBidi"/>
          <w:b/>
          <w:sz w:val="22"/>
          <w:szCs w:val="22"/>
          <w:lang w:eastAsia="en-US"/>
        </w:rPr>
        <w:t>§ 6</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 xml:space="preserve">Die </w:t>
      </w:r>
      <w:r w:rsidRPr="00260BCE">
        <w:rPr>
          <w:rFonts w:ascii="Verdana" w:eastAsiaTheme="minorHAnsi" w:hAnsi="Verdana" w:cstheme="minorBidi"/>
          <w:b/>
          <w:sz w:val="22"/>
          <w:szCs w:val="22"/>
          <w:lang w:eastAsia="en-US"/>
        </w:rPr>
        <w:t>Steuersätze für die Gemeindesteuern</w:t>
      </w:r>
      <w:r w:rsidRPr="00260BCE">
        <w:rPr>
          <w:rFonts w:ascii="Verdana" w:eastAsiaTheme="minorHAnsi" w:hAnsi="Verdana" w:cstheme="minorBidi"/>
          <w:sz w:val="22"/>
          <w:szCs w:val="22"/>
          <w:lang w:eastAsia="en-US"/>
        </w:rPr>
        <w:t xml:space="preserve"> werden für das Haushaltsjahr</w:t>
      </w:r>
      <w:r w:rsidRPr="00260BCE">
        <w:rPr>
          <w:rFonts w:ascii="Verdana" w:eastAsiaTheme="minorHAnsi" w:hAnsi="Verdana" w:cstheme="minorBidi"/>
          <w:sz w:val="22"/>
          <w:szCs w:val="22"/>
          <w:vertAlign w:val="superscript"/>
          <w:lang w:eastAsia="en-US"/>
        </w:rPr>
        <w:t xml:space="preserve"> </w:t>
      </w:r>
      <w:r w:rsidRPr="00260BCE">
        <w:rPr>
          <w:rFonts w:ascii="Verdana" w:eastAsiaTheme="minorHAnsi" w:hAnsi="Verdana" w:cstheme="minorBidi"/>
          <w:sz w:val="22"/>
          <w:szCs w:val="22"/>
          <w:lang w:eastAsia="en-US"/>
        </w:rPr>
        <w:t>2021 wie folgt festgesetzt:</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1.     Grundsteuer</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1.1   für die land- und forstwirtschaftlichen Betriebe</w:t>
      </w:r>
    </w:p>
    <w:p w:rsidR="00260BCE" w:rsidRPr="00260BCE" w:rsidRDefault="00260BCE" w:rsidP="00260BCE">
      <w:pPr>
        <w:spacing w:after="200" w:line="276" w:lineRule="auto"/>
        <w:ind w:left="360"/>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 xml:space="preserve">  (Grundsteuer A) auf</w:t>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t>280 v.H.</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 xml:space="preserve">1.2   für die Grundstücke </w:t>
      </w:r>
    </w:p>
    <w:p w:rsidR="00260BCE" w:rsidRPr="00260BCE" w:rsidRDefault="00260BCE" w:rsidP="00260BCE">
      <w:pPr>
        <w:spacing w:after="200" w:line="276" w:lineRule="auto"/>
        <w:ind w:left="540"/>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(Grundsteuer B) auf</w:t>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t>443 v.H.</w:t>
      </w:r>
    </w:p>
    <w:p w:rsidR="00260BCE" w:rsidRPr="00260BCE" w:rsidRDefault="00260BCE" w:rsidP="00260BCE">
      <w:pPr>
        <w:spacing w:after="200" w:line="276" w:lineRule="auto"/>
        <w:ind w:left="360"/>
        <w:jc w:val="both"/>
        <w:rPr>
          <w:rFonts w:ascii="Verdana" w:eastAsiaTheme="minorHAnsi" w:hAnsi="Verdana" w:cstheme="minorBidi"/>
          <w:sz w:val="22"/>
          <w:szCs w:val="22"/>
          <w:lang w:eastAsia="en-US"/>
        </w:rPr>
      </w:pP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2.    Gewerbesteuer auf</w:t>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r>
      <w:r w:rsidRPr="00260BCE">
        <w:rPr>
          <w:rFonts w:ascii="Verdana" w:eastAsiaTheme="minorHAnsi" w:hAnsi="Verdana" w:cstheme="minorBidi"/>
          <w:sz w:val="22"/>
          <w:szCs w:val="22"/>
          <w:lang w:eastAsia="en-US"/>
        </w:rPr>
        <w:tab/>
        <w:t>418 v.H.</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p>
    <w:p w:rsidR="00260BCE" w:rsidRPr="00260BCE" w:rsidRDefault="00260BCE" w:rsidP="00260BCE">
      <w:pPr>
        <w:spacing w:after="200" w:line="276" w:lineRule="auto"/>
        <w:jc w:val="both"/>
        <w:rPr>
          <w:rFonts w:ascii="Verdana" w:eastAsiaTheme="minorHAnsi" w:hAnsi="Verdana" w:cstheme="minorBidi"/>
          <w:sz w:val="22"/>
          <w:szCs w:val="22"/>
          <w:lang w:eastAsia="en-US"/>
        </w:rPr>
      </w:pPr>
    </w:p>
    <w:p w:rsidR="00260BCE" w:rsidRPr="00260BCE" w:rsidRDefault="00260BCE" w:rsidP="00260BCE">
      <w:pPr>
        <w:spacing w:after="200" w:line="276" w:lineRule="auto"/>
        <w:jc w:val="center"/>
        <w:rPr>
          <w:rFonts w:ascii="Verdana" w:eastAsiaTheme="minorHAnsi" w:hAnsi="Verdana" w:cstheme="minorBidi"/>
          <w:b/>
          <w:sz w:val="22"/>
          <w:szCs w:val="22"/>
          <w:lang w:eastAsia="en-US"/>
        </w:rPr>
      </w:pPr>
      <w:r w:rsidRPr="00260BCE">
        <w:rPr>
          <w:rFonts w:ascii="Verdana" w:eastAsiaTheme="minorHAnsi" w:hAnsi="Verdana" w:cstheme="minorBidi"/>
          <w:b/>
          <w:sz w:val="22"/>
          <w:szCs w:val="22"/>
          <w:lang w:eastAsia="en-US"/>
        </w:rPr>
        <w:lastRenderedPageBreak/>
        <w:t>§ 7</w:t>
      </w:r>
    </w:p>
    <w:p w:rsidR="00260BCE" w:rsidRPr="00260BCE" w:rsidRDefault="00260BCE" w:rsidP="00260BCE">
      <w:pPr>
        <w:spacing w:after="200" w:line="276" w:lineRule="auto"/>
        <w:jc w:val="center"/>
        <w:rPr>
          <w:rFonts w:ascii="Verdana" w:eastAsiaTheme="minorHAnsi" w:hAnsi="Verdana" w:cstheme="minorBidi"/>
          <w:sz w:val="22"/>
          <w:szCs w:val="22"/>
          <w:lang w:eastAsia="en-US"/>
        </w:rPr>
      </w:pP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Ein Haushaltssicherungskonzept wird nicht aufgestellt.</w:t>
      </w:r>
    </w:p>
    <w:p w:rsidR="00260BCE" w:rsidRPr="00260BCE" w:rsidRDefault="00260BCE" w:rsidP="00260BCE">
      <w:pPr>
        <w:spacing w:after="200" w:line="276" w:lineRule="auto"/>
        <w:jc w:val="both"/>
        <w:rPr>
          <w:rFonts w:ascii="Verdana" w:eastAsiaTheme="minorHAnsi" w:hAnsi="Verdana" w:cstheme="minorBidi"/>
          <w:sz w:val="22"/>
          <w:szCs w:val="22"/>
          <w:lang w:eastAsia="en-US"/>
        </w:rPr>
      </w:pPr>
    </w:p>
    <w:p w:rsidR="00260BCE" w:rsidRPr="00260BCE" w:rsidRDefault="00260BCE" w:rsidP="00260BCE">
      <w:pPr>
        <w:spacing w:after="200" w:line="276" w:lineRule="auto"/>
        <w:rPr>
          <w:rFonts w:ascii="Verdana" w:eastAsiaTheme="minorHAnsi" w:hAnsi="Verdana" w:cstheme="minorBidi"/>
          <w:b/>
          <w:bCs/>
          <w:sz w:val="22"/>
          <w:szCs w:val="22"/>
          <w:lang w:eastAsia="en-US"/>
        </w:rPr>
      </w:pPr>
    </w:p>
    <w:p w:rsidR="00260BCE" w:rsidRPr="00260BCE" w:rsidRDefault="00260BCE" w:rsidP="00260BCE">
      <w:pPr>
        <w:spacing w:after="200" w:line="276" w:lineRule="auto"/>
        <w:jc w:val="center"/>
        <w:rPr>
          <w:rFonts w:ascii="Verdana" w:eastAsiaTheme="minorHAnsi" w:hAnsi="Verdana" w:cstheme="minorBidi"/>
          <w:b/>
          <w:bCs/>
          <w:sz w:val="22"/>
          <w:szCs w:val="22"/>
          <w:lang w:eastAsia="en-US"/>
        </w:rPr>
      </w:pPr>
      <w:r w:rsidRPr="00260BCE">
        <w:rPr>
          <w:rFonts w:ascii="Verdana" w:eastAsiaTheme="minorHAnsi" w:hAnsi="Verdana" w:cstheme="minorBidi"/>
          <w:b/>
          <w:bCs/>
          <w:sz w:val="22"/>
          <w:szCs w:val="22"/>
          <w:lang w:eastAsia="en-US"/>
        </w:rPr>
        <w:t>§ 8</w:t>
      </w:r>
    </w:p>
    <w:p w:rsidR="00260BCE" w:rsidRPr="00260BCE" w:rsidRDefault="00260BCE" w:rsidP="00260BCE">
      <w:pPr>
        <w:spacing w:after="200" w:line="276" w:lineRule="auto"/>
        <w:jc w:val="center"/>
        <w:rPr>
          <w:rFonts w:ascii="Verdana" w:eastAsiaTheme="minorHAnsi" w:hAnsi="Verdana" w:cstheme="minorBidi"/>
          <w:sz w:val="22"/>
          <w:szCs w:val="22"/>
          <w:lang w:eastAsia="en-US"/>
        </w:rPr>
      </w:pPr>
    </w:p>
    <w:p w:rsidR="00260BCE" w:rsidRPr="00260BCE" w:rsidRDefault="00260BCE" w:rsidP="00260BCE">
      <w:pPr>
        <w:spacing w:after="200" w:line="276" w:lineRule="auto"/>
        <w:jc w:val="both"/>
        <w:rPr>
          <w:rFonts w:ascii="Verdana" w:eastAsiaTheme="minorHAnsi" w:hAnsi="Verdana" w:cstheme="minorBidi"/>
          <w:b/>
          <w:sz w:val="22"/>
          <w:szCs w:val="22"/>
          <w:lang w:eastAsia="en-US"/>
        </w:rPr>
      </w:pPr>
      <w:r w:rsidRPr="00260BCE">
        <w:rPr>
          <w:rFonts w:ascii="Verdana" w:eastAsiaTheme="minorHAnsi" w:hAnsi="Verdana" w:cstheme="minorBidi"/>
          <w:b/>
          <w:sz w:val="22"/>
          <w:szCs w:val="22"/>
          <w:lang w:eastAsia="en-US"/>
        </w:rPr>
        <w:t>Über- und außerplanmäßige Aufwendungen und Auszahlungen</w:t>
      </w:r>
      <w:r w:rsidRPr="00260BCE">
        <w:rPr>
          <w:rFonts w:ascii="Verdana" w:eastAsiaTheme="minorHAnsi" w:hAnsi="Verdana" w:cstheme="minorBidi"/>
          <w:sz w:val="22"/>
          <w:szCs w:val="22"/>
          <w:lang w:eastAsia="en-US"/>
        </w:rPr>
        <w:t xml:space="preserve"> im Sinne des § 83 GO NRW sind </w:t>
      </w:r>
      <w:r w:rsidRPr="00260BCE">
        <w:rPr>
          <w:rFonts w:ascii="Verdana" w:eastAsiaTheme="minorHAnsi" w:hAnsi="Verdana" w:cstheme="minorBidi"/>
          <w:b/>
          <w:sz w:val="22"/>
          <w:szCs w:val="22"/>
          <w:lang w:eastAsia="en-US"/>
        </w:rPr>
        <w:t>geringfügig:</w:t>
      </w:r>
    </w:p>
    <w:p w:rsidR="00260BCE" w:rsidRPr="00260BCE" w:rsidRDefault="00260BCE" w:rsidP="00260BCE">
      <w:pPr>
        <w:numPr>
          <w:ilvl w:val="0"/>
          <w:numId w:val="1"/>
        </w:numPr>
        <w:tabs>
          <w:tab w:val="clear" w:pos="3936"/>
          <w:tab w:val="num" w:pos="360"/>
        </w:tabs>
        <w:spacing w:after="200" w:line="276" w:lineRule="auto"/>
        <w:ind w:left="360"/>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wenn sie nicht einen Betrag von 5.000,00 € überschreiten.</w:t>
      </w:r>
    </w:p>
    <w:p w:rsidR="00260BCE" w:rsidRPr="00260BCE" w:rsidRDefault="00260BCE" w:rsidP="00260BCE">
      <w:pPr>
        <w:spacing w:after="200" w:line="276" w:lineRule="auto"/>
        <w:ind w:left="709"/>
        <w:rPr>
          <w:rFonts w:ascii="Verdana" w:eastAsiaTheme="minorHAnsi" w:hAnsi="Verdana" w:cstheme="minorBidi"/>
          <w:sz w:val="22"/>
          <w:szCs w:val="22"/>
          <w:lang w:eastAsia="en-US"/>
        </w:rPr>
      </w:pPr>
    </w:p>
    <w:p w:rsidR="00260BCE" w:rsidRPr="00260BCE" w:rsidRDefault="00260BCE" w:rsidP="00260BCE">
      <w:pPr>
        <w:spacing w:after="200" w:line="276" w:lineRule="auto"/>
        <w:rPr>
          <w:rFonts w:ascii="Verdana" w:eastAsiaTheme="minorHAnsi" w:hAnsi="Verdana" w:cstheme="minorBidi"/>
          <w:sz w:val="22"/>
          <w:szCs w:val="22"/>
          <w:lang w:eastAsia="en-US"/>
        </w:rPr>
      </w:pPr>
      <w:r w:rsidRPr="00260BCE">
        <w:rPr>
          <w:rFonts w:ascii="Verdana" w:eastAsiaTheme="minorHAnsi" w:hAnsi="Verdana" w:cstheme="minorBidi"/>
          <w:b/>
          <w:sz w:val="22"/>
          <w:szCs w:val="22"/>
          <w:lang w:eastAsia="en-US"/>
        </w:rPr>
        <w:t xml:space="preserve">Über- und außerplanmäßige Aufwendungen und Auszahlungen </w:t>
      </w:r>
      <w:r w:rsidRPr="00260BCE">
        <w:rPr>
          <w:rFonts w:ascii="Verdana" w:eastAsiaTheme="minorHAnsi" w:hAnsi="Verdana" w:cstheme="minorBidi"/>
          <w:sz w:val="22"/>
          <w:szCs w:val="22"/>
          <w:lang w:eastAsia="en-US"/>
        </w:rPr>
        <w:t xml:space="preserve">im Sinne des § 83 GO NRW sind </w:t>
      </w:r>
      <w:r w:rsidRPr="00260BCE">
        <w:rPr>
          <w:rFonts w:ascii="Verdana" w:eastAsiaTheme="minorHAnsi" w:hAnsi="Verdana" w:cstheme="minorBidi"/>
          <w:b/>
          <w:sz w:val="22"/>
          <w:szCs w:val="22"/>
          <w:lang w:eastAsia="en-US"/>
        </w:rPr>
        <w:t>unerheblich:</w:t>
      </w:r>
    </w:p>
    <w:p w:rsidR="00260BCE" w:rsidRPr="00260BCE" w:rsidRDefault="00260BCE" w:rsidP="00260BCE">
      <w:pPr>
        <w:numPr>
          <w:ilvl w:val="0"/>
          <w:numId w:val="2"/>
        </w:numPr>
        <w:tabs>
          <w:tab w:val="clear" w:pos="2869"/>
          <w:tab w:val="num" w:pos="360"/>
        </w:tabs>
        <w:spacing w:after="200" w:line="276" w:lineRule="auto"/>
        <w:ind w:left="360"/>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bei gesetzlichen oder vertraglichen Verpflichtungen,</w:t>
      </w:r>
    </w:p>
    <w:p w:rsidR="00260BCE" w:rsidRPr="00260BCE" w:rsidRDefault="00260BCE" w:rsidP="00260BCE">
      <w:pPr>
        <w:numPr>
          <w:ilvl w:val="0"/>
          <w:numId w:val="2"/>
        </w:numPr>
        <w:tabs>
          <w:tab w:val="clear" w:pos="2869"/>
          <w:tab w:val="num" w:pos="360"/>
        </w:tabs>
        <w:spacing w:after="200" w:line="276" w:lineRule="auto"/>
        <w:ind w:left="360"/>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bei der Umschuldung von Krediten,</w:t>
      </w:r>
    </w:p>
    <w:p w:rsidR="00260BCE" w:rsidRPr="00260BCE" w:rsidRDefault="00260BCE" w:rsidP="00260BCE">
      <w:pPr>
        <w:numPr>
          <w:ilvl w:val="0"/>
          <w:numId w:val="2"/>
        </w:numPr>
        <w:tabs>
          <w:tab w:val="clear" w:pos="2869"/>
          <w:tab w:val="num" w:pos="360"/>
        </w:tabs>
        <w:spacing w:after="200" w:line="276" w:lineRule="auto"/>
        <w:ind w:left="360"/>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bei inneren Verrechnungen,</w:t>
      </w:r>
    </w:p>
    <w:p w:rsidR="00260BCE" w:rsidRPr="00260BCE" w:rsidRDefault="00260BCE" w:rsidP="00260BCE">
      <w:pPr>
        <w:numPr>
          <w:ilvl w:val="0"/>
          <w:numId w:val="2"/>
        </w:numPr>
        <w:tabs>
          <w:tab w:val="clear" w:pos="2869"/>
          <w:tab w:val="num" w:pos="360"/>
        </w:tabs>
        <w:spacing w:after="200" w:line="276" w:lineRule="auto"/>
        <w:ind w:left="360"/>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wenn sie durchlaufend oder durch zweckgebundene Spenden, Zuweisungen oder Zuschüsse gedeckt sind,</w:t>
      </w:r>
    </w:p>
    <w:p w:rsidR="00260BCE" w:rsidRPr="00260BCE" w:rsidRDefault="00260BCE" w:rsidP="00260BCE">
      <w:pPr>
        <w:numPr>
          <w:ilvl w:val="0"/>
          <w:numId w:val="2"/>
        </w:numPr>
        <w:tabs>
          <w:tab w:val="clear" w:pos="2869"/>
          <w:tab w:val="num" w:pos="360"/>
        </w:tabs>
        <w:spacing w:after="200" w:line="276" w:lineRule="auto"/>
        <w:ind w:left="360"/>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wenn sie nicht einen Betrag von 20.000,00 € überschreiten,</w:t>
      </w:r>
    </w:p>
    <w:p w:rsidR="00260BCE" w:rsidRPr="00260BCE" w:rsidRDefault="00260BCE" w:rsidP="00260BCE">
      <w:pPr>
        <w:numPr>
          <w:ilvl w:val="0"/>
          <w:numId w:val="2"/>
        </w:numPr>
        <w:tabs>
          <w:tab w:val="clear" w:pos="2869"/>
          <w:tab w:val="num" w:pos="360"/>
        </w:tabs>
        <w:spacing w:after="200" w:line="276" w:lineRule="auto"/>
        <w:ind w:left="360"/>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über 20.000,00 €, wenn sie das Finanzkonto um nicht mehr als 25 % überschreiten.</w:t>
      </w:r>
    </w:p>
    <w:p w:rsidR="00260BCE" w:rsidRPr="00260BCE" w:rsidRDefault="00260BCE" w:rsidP="00260BCE">
      <w:pPr>
        <w:spacing w:after="200" w:line="276" w:lineRule="auto"/>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Über- und außerplanmäßige Aufwendungen und Auszahlungen für im Zuge des Jahresabschlusses erforderliche Abschlussbuchungen fallen unabhängig von der Größenordnung in die Zuständigkeit des Kämmerers.</w:t>
      </w:r>
    </w:p>
    <w:p w:rsidR="00260BCE" w:rsidRPr="00260BCE" w:rsidRDefault="00260BCE" w:rsidP="00260BCE">
      <w:pPr>
        <w:spacing w:after="200" w:line="276" w:lineRule="auto"/>
        <w:rPr>
          <w:rFonts w:ascii="Verdana" w:eastAsiaTheme="minorHAnsi" w:hAnsi="Verdana" w:cstheme="minorBidi"/>
          <w:sz w:val="22"/>
          <w:szCs w:val="22"/>
          <w:lang w:eastAsia="en-US"/>
        </w:rPr>
      </w:pPr>
    </w:p>
    <w:p w:rsidR="00260BCE" w:rsidRPr="00260BCE" w:rsidRDefault="00260BCE" w:rsidP="00260BCE">
      <w:pPr>
        <w:spacing w:after="200" w:line="276" w:lineRule="auto"/>
        <w:jc w:val="both"/>
        <w:rPr>
          <w:rFonts w:ascii="Verdana" w:eastAsiaTheme="minorHAnsi" w:hAnsi="Verdana" w:cstheme="minorBidi"/>
          <w:sz w:val="22"/>
          <w:szCs w:val="22"/>
          <w:lang w:eastAsia="en-US"/>
        </w:rPr>
      </w:pPr>
      <w:r w:rsidRPr="00260BCE">
        <w:rPr>
          <w:rFonts w:ascii="Verdana" w:eastAsiaTheme="minorHAnsi" w:hAnsi="Verdana" w:cstheme="minorBidi"/>
          <w:sz w:val="22"/>
          <w:szCs w:val="22"/>
          <w:lang w:eastAsia="en-US"/>
        </w:rPr>
        <w:t xml:space="preserve">Alle </w:t>
      </w:r>
      <w:r w:rsidRPr="00260BCE">
        <w:rPr>
          <w:rFonts w:ascii="Verdana" w:eastAsiaTheme="minorHAnsi" w:hAnsi="Verdana" w:cstheme="minorBidi"/>
          <w:b/>
          <w:sz w:val="22"/>
          <w:szCs w:val="22"/>
          <w:lang w:eastAsia="en-US"/>
        </w:rPr>
        <w:t xml:space="preserve">erheblichen über- und außerplanmäßigen Aufwendungen und Auszahlungen </w:t>
      </w:r>
      <w:r w:rsidRPr="00260BCE">
        <w:rPr>
          <w:rFonts w:ascii="Verdana" w:eastAsiaTheme="minorHAnsi" w:hAnsi="Verdana" w:cstheme="minorBidi"/>
          <w:sz w:val="22"/>
          <w:szCs w:val="22"/>
          <w:lang w:eastAsia="en-US"/>
        </w:rPr>
        <w:t>bedürfen der vorherigen Zustimmung des Rates der Stadt Brakel.</w:t>
      </w:r>
    </w:p>
    <w:p w:rsidR="00F73EE2" w:rsidRDefault="00F73EE2" w:rsidP="0070108B">
      <w:pPr>
        <w:widowControl w:val="0"/>
        <w:overflowPunct w:val="0"/>
        <w:autoSpaceDE w:val="0"/>
        <w:autoSpaceDN w:val="0"/>
        <w:adjustRightInd w:val="0"/>
        <w:jc w:val="both"/>
        <w:textAlignment w:val="baseline"/>
        <w:rPr>
          <w:rFonts w:ascii="Verdana" w:hAnsi="Verdana"/>
          <w:sz w:val="24"/>
        </w:rPr>
      </w:pPr>
    </w:p>
    <w:p w:rsidR="00F73EE2" w:rsidRDefault="00F73EE2" w:rsidP="0070108B">
      <w:pPr>
        <w:widowControl w:val="0"/>
        <w:overflowPunct w:val="0"/>
        <w:autoSpaceDE w:val="0"/>
        <w:autoSpaceDN w:val="0"/>
        <w:adjustRightInd w:val="0"/>
        <w:jc w:val="both"/>
        <w:textAlignment w:val="baseline"/>
        <w:rPr>
          <w:rFonts w:ascii="Verdana" w:hAnsi="Verdana"/>
          <w:sz w:val="24"/>
        </w:rPr>
      </w:pPr>
    </w:p>
    <w:p w:rsidR="00F73EE2" w:rsidRDefault="00F73EE2" w:rsidP="0070108B">
      <w:pPr>
        <w:widowControl w:val="0"/>
        <w:overflowPunct w:val="0"/>
        <w:autoSpaceDE w:val="0"/>
        <w:autoSpaceDN w:val="0"/>
        <w:adjustRightInd w:val="0"/>
        <w:jc w:val="both"/>
        <w:textAlignment w:val="baseline"/>
        <w:rPr>
          <w:rFonts w:ascii="Verdana" w:hAnsi="Verdana"/>
          <w:sz w:val="24"/>
        </w:rPr>
      </w:pPr>
    </w:p>
    <w:p w:rsidR="00260BCE" w:rsidRDefault="00260BCE" w:rsidP="0070108B">
      <w:pPr>
        <w:widowControl w:val="0"/>
        <w:overflowPunct w:val="0"/>
        <w:autoSpaceDE w:val="0"/>
        <w:autoSpaceDN w:val="0"/>
        <w:adjustRightInd w:val="0"/>
        <w:jc w:val="both"/>
        <w:textAlignment w:val="baseline"/>
        <w:rPr>
          <w:rFonts w:ascii="Verdana" w:hAnsi="Verdana"/>
          <w:sz w:val="24"/>
        </w:rPr>
      </w:pPr>
    </w:p>
    <w:p w:rsidR="00260BCE" w:rsidRPr="0070108B" w:rsidRDefault="00260BCE" w:rsidP="0070108B">
      <w:pPr>
        <w:widowControl w:val="0"/>
        <w:overflowPunct w:val="0"/>
        <w:autoSpaceDE w:val="0"/>
        <w:autoSpaceDN w:val="0"/>
        <w:adjustRightInd w:val="0"/>
        <w:jc w:val="both"/>
        <w:textAlignment w:val="baseline"/>
        <w:rPr>
          <w:rFonts w:ascii="Verdana" w:hAnsi="Verdana"/>
          <w:sz w:val="24"/>
        </w:rPr>
      </w:pPr>
    </w:p>
    <w:p w:rsidR="009249C1" w:rsidRDefault="009249C1" w:rsidP="009249C1">
      <w:pPr>
        <w:ind w:left="708"/>
        <w:rPr>
          <w:rFonts w:ascii="Verdana" w:hAnsi="Verdana"/>
          <w:sz w:val="22"/>
        </w:rPr>
      </w:pPr>
    </w:p>
    <w:p w:rsidR="009249C1" w:rsidRDefault="009249C1" w:rsidP="009249C1">
      <w:pPr>
        <w:rPr>
          <w:rFonts w:ascii="Verdana" w:hAnsi="Verdana"/>
          <w:sz w:val="22"/>
        </w:rPr>
      </w:pPr>
    </w:p>
    <w:p w:rsidR="009249C1" w:rsidRPr="00BB00C7" w:rsidRDefault="009249C1" w:rsidP="00BB00C7">
      <w:pPr>
        <w:pStyle w:val="Listenabsatz"/>
        <w:numPr>
          <w:ilvl w:val="0"/>
          <w:numId w:val="3"/>
        </w:numPr>
        <w:jc w:val="both"/>
        <w:rPr>
          <w:rFonts w:ascii="Verdana" w:hAnsi="Verdana"/>
          <w:b/>
          <w:sz w:val="22"/>
          <w:u w:val="single"/>
        </w:rPr>
      </w:pPr>
      <w:r w:rsidRPr="00BB00C7">
        <w:rPr>
          <w:rFonts w:ascii="Verdana" w:hAnsi="Verdana"/>
          <w:b/>
          <w:sz w:val="22"/>
          <w:u w:val="single"/>
        </w:rPr>
        <w:t>Bekanntmachung der Haushaltssatzung</w:t>
      </w:r>
    </w:p>
    <w:p w:rsidR="00BB00C7" w:rsidRPr="00BB00C7" w:rsidRDefault="00BB00C7" w:rsidP="00BB00C7">
      <w:pPr>
        <w:pStyle w:val="Listenabsatz"/>
        <w:ind w:left="1080"/>
        <w:jc w:val="both"/>
        <w:rPr>
          <w:rFonts w:ascii="Verdana" w:hAnsi="Verdana"/>
          <w:sz w:val="22"/>
        </w:rPr>
      </w:pPr>
    </w:p>
    <w:p w:rsidR="009249C1" w:rsidRDefault="009249C1" w:rsidP="009249C1">
      <w:pPr>
        <w:ind w:left="709"/>
        <w:jc w:val="both"/>
        <w:rPr>
          <w:rFonts w:ascii="Verdana" w:hAnsi="Verdana"/>
          <w:sz w:val="22"/>
        </w:rPr>
      </w:pPr>
      <w:r>
        <w:rPr>
          <w:rFonts w:ascii="Verdana" w:hAnsi="Verdana"/>
          <w:sz w:val="22"/>
        </w:rPr>
        <w:t>Die vorstehende Haushaltssatzung mit ihren An</w:t>
      </w:r>
      <w:r w:rsidR="0070108B">
        <w:rPr>
          <w:rFonts w:ascii="Verdana" w:hAnsi="Verdana"/>
          <w:sz w:val="22"/>
        </w:rPr>
        <w:t xml:space="preserve">lagen für das Haushaltsjahr </w:t>
      </w:r>
      <w:r w:rsidR="005969FA">
        <w:rPr>
          <w:rFonts w:ascii="Verdana" w:hAnsi="Verdana"/>
          <w:sz w:val="22"/>
        </w:rPr>
        <w:t>2021</w:t>
      </w:r>
      <w:r>
        <w:rPr>
          <w:rFonts w:ascii="Verdana" w:hAnsi="Verdana"/>
          <w:sz w:val="22"/>
        </w:rPr>
        <w:t xml:space="preserve"> wird hiermit öffentlich bekannt gemacht. Die Haushaltssatzung mit ihren Anlagen ist gemäß § 80 Abs. 5 GO NRW dem Landrat als untere staatliche Verwaltungsbehörde in Höxter mit Schreiben vom </w:t>
      </w:r>
      <w:r w:rsidR="005969FA">
        <w:rPr>
          <w:rFonts w:ascii="Verdana" w:hAnsi="Verdana"/>
          <w:sz w:val="22"/>
        </w:rPr>
        <w:t>19.03.2021</w:t>
      </w:r>
      <w:r>
        <w:rPr>
          <w:rFonts w:ascii="Verdana" w:hAnsi="Verdana"/>
          <w:sz w:val="22"/>
        </w:rPr>
        <w:t xml:space="preserve"> angezeigt worden.</w:t>
      </w:r>
    </w:p>
    <w:p w:rsidR="009249C1" w:rsidRDefault="009249C1" w:rsidP="009249C1">
      <w:pPr>
        <w:pStyle w:val="Textkrper-Einzug2"/>
      </w:pPr>
      <w:r>
        <w:t>Der Haushaltspla</w:t>
      </w:r>
      <w:r w:rsidR="0070108B">
        <w:t>n liegt zur Eins</w:t>
      </w:r>
      <w:r w:rsidR="00E442E9">
        <w:t>icht</w:t>
      </w:r>
      <w:r w:rsidR="005969FA">
        <w:t>nahme vom 28.04.2021</w:t>
      </w:r>
      <w:bookmarkStart w:id="0" w:name="_GoBack"/>
      <w:bookmarkEnd w:id="0"/>
      <w:r>
        <w:t xml:space="preserve"> bis zum Ende der Ausl</w:t>
      </w:r>
      <w:r w:rsidR="005969FA">
        <w:t>egung des Jahresabschlusses 2021</w:t>
      </w:r>
      <w:r>
        <w:t xml:space="preserve"> öffentlich au</w:t>
      </w:r>
      <w:r w:rsidR="00A971A8">
        <w:t>s und kann im Rathaus, Zimmer 13</w:t>
      </w:r>
      <w:r>
        <w:t>, montags bis donnerstags von 8.00 Uhr bis 12.30 Uhr und von 14.00 Uhr bis 16.30 Uhr, freitags von 8.00 Uhr bis 12.30 Uhr eingesehen werden.</w:t>
      </w:r>
    </w:p>
    <w:p w:rsidR="009249C1" w:rsidRDefault="009249C1" w:rsidP="009249C1">
      <w:pPr>
        <w:ind w:left="709"/>
        <w:jc w:val="both"/>
        <w:rPr>
          <w:rFonts w:ascii="Verdana" w:hAnsi="Verdana"/>
          <w:sz w:val="22"/>
        </w:rPr>
      </w:pPr>
      <w:r>
        <w:rPr>
          <w:rFonts w:ascii="Verdana" w:hAnsi="Verdana"/>
          <w:sz w:val="22"/>
        </w:rPr>
        <w:t>Es wird darauf hingewiesen, dass eine Verletzung von Verfahrens- oder Formvorschriften der Gemeindeordnung für das Land Nordrhein-Westfalen (GO NRW) beim Zustandekommen dieser Satzung nach Ablauf eines Jahres seit dieser Bekanntmachung nicht mehr geltend gemacht werden kann, es sei denn,</w:t>
      </w:r>
    </w:p>
    <w:p w:rsidR="00E442E9" w:rsidRDefault="00E442E9" w:rsidP="009249C1">
      <w:pPr>
        <w:ind w:left="709"/>
        <w:jc w:val="both"/>
        <w:rPr>
          <w:rFonts w:ascii="Verdana" w:hAnsi="Verdana"/>
          <w:sz w:val="22"/>
        </w:rPr>
      </w:pPr>
    </w:p>
    <w:p w:rsidR="009249C1" w:rsidRDefault="009249C1" w:rsidP="009249C1">
      <w:pPr>
        <w:ind w:left="709"/>
        <w:jc w:val="both"/>
        <w:rPr>
          <w:rFonts w:ascii="Verdana" w:hAnsi="Verdana"/>
          <w:sz w:val="22"/>
        </w:rPr>
      </w:pPr>
      <w:r>
        <w:rPr>
          <w:rFonts w:ascii="Verdana" w:hAnsi="Verdana"/>
          <w:sz w:val="22"/>
        </w:rPr>
        <w:t xml:space="preserve">a) eine vorgeschriebene Genehmigung fehlt oder ein vorgeschriebenes </w:t>
      </w:r>
    </w:p>
    <w:p w:rsidR="009249C1" w:rsidRDefault="009249C1" w:rsidP="009249C1">
      <w:pPr>
        <w:ind w:left="709"/>
        <w:jc w:val="both"/>
        <w:rPr>
          <w:rFonts w:ascii="Verdana" w:hAnsi="Verdana"/>
          <w:sz w:val="22"/>
        </w:rPr>
      </w:pPr>
      <w:r>
        <w:rPr>
          <w:rFonts w:ascii="Verdana" w:hAnsi="Verdana"/>
          <w:sz w:val="22"/>
        </w:rPr>
        <w:t xml:space="preserve">    Anzeigeverfahren wurde nicht durchgeführt,</w:t>
      </w:r>
    </w:p>
    <w:p w:rsidR="009249C1" w:rsidRDefault="009249C1" w:rsidP="009249C1">
      <w:pPr>
        <w:ind w:left="709"/>
        <w:rPr>
          <w:rFonts w:ascii="Verdana" w:hAnsi="Verdana"/>
          <w:sz w:val="22"/>
        </w:rPr>
      </w:pPr>
      <w:r>
        <w:rPr>
          <w:rFonts w:ascii="Verdana" w:hAnsi="Verdana"/>
          <w:sz w:val="22"/>
        </w:rPr>
        <w:t xml:space="preserve">b) die Satzung ist nicht ordnungsgemäß öffentlich bekannt gemacht </w:t>
      </w:r>
      <w:proofErr w:type="spellStart"/>
      <w:r>
        <w:rPr>
          <w:rFonts w:ascii="Verdana" w:hAnsi="Verdana"/>
          <w:sz w:val="22"/>
        </w:rPr>
        <w:t>wor</w:t>
      </w:r>
      <w:proofErr w:type="spellEnd"/>
      <w:r>
        <w:rPr>
          <w:rFonts w:ascii="Verdana" w:hAnsi="Verdana"/>
          <w:sz w:val="22"/>
        </w:rPr>
        <w:t>-</w:t>
      </w:r>
    </w:p>
    <w:p w:rsidR="009249C1" w:rsidRDefault="009249C1" w:rsidP="009249C1">
      <w:pPr>
        <w:ind w:left="709"/>
        <w:rPr>
          <w:rFonts w:ascii="Verdana" w:hAnsi="Verdana"/>
          <w:sz w:val="22"/>
        </w:rPr>
      </w:pPr>
      <w:r>
        <w:rPr>
          <w:rFonts w:ascii="Verdana" w:hAnsi="Verdana"/>
          <w:sz w:val="22"/>
        </w:rPr>
        <w:t xml:space="preserve">    den,</w:t>
      </w:r>
    </w:p>
    <w:p w:rsidR="009249C1" w:rsidRDefault="009249C1" w:rsidP="009249C1">
      <w:pPr>
        <w:ind w:left="709"/>
        <w:jc w:val="both"/>
        <w:rPr>
          <w:rFonts w:ascii="Verdana" w:hAnsi="Verdana"/>
          <w:sz w:val="22"/>
        </w:rPr>
      </w:pPr>
      <w:r>
        <w:rPr>
          <w:rFonts w:ascii="Verdana" w:hAnsi="Verdana"/>
          <w:sz w:val="22"/>
        </w:rPr>
        <w:t>c) der Bürgermeister hat den Satzungsbeschluss vorher beanstandet oder</w:t>
      </w:r>
    </w:p>
    <w:p w:rsidR="009249C1" w:rsidRDefault="009249C1" w:rsidP="009249C1">
      <w:pPr>
        <w:ind w:left="709"/>
        <w:jc w:val="both"/>
        <w:rPr>
          <w:rFonts w:ascii="Verdana" w:hAnsi="Verdana"/>
          <w:sz w:val="22"/>
        </w:rPr>
      </w:pPr>
      <w:r>
        <w:rPr>
          <w:rFonts w:ascii="Verdana" w:hAnsi="Verdana"/>
          <w:sz w:val="22"/>
        </w:rPr>
        <w:t xml:space="preserve">d) der Form- oder Verfahrensmangel ist gegenüber der Stadt Brakel </w:t>
      </w:r>
    </w:p>
    <w:p w:rsidR="009249C1" w:rsidRDefault="009249C1" w:rsidP="009249C1">
      <w:pPr>
        <w:ind w:left="709"/>
        <w:jc w:val="both"/>
        <w:rPr>
          <w:rFonts w:ascii="Verdana" w:hAnsi="Verdana"/>
          <w:sz w:val="22"/>
        </w:rPr>
      </w:pPr>
      <w:r>
        <w:rPr>
          <w:rFonts w:ascii="Verdana" w:hAnsi="Verdana"/>
          <w:sz w:val="22"/>
        </w:rPr>
        <w:t xml:space="preserve">    vorher gerügt und dabei die verletzte Rechtsvorschrift und die </w:t>
      </w:r>
    </w:p>
    <w:p w:rsidR="009249C1" w:rsidRDefault="009249C1" w:rsidP="009249C1">
      <w:pPr>
        <w:ind w:left="709"/>
        <w:jc w:val="both"/>
        <w:rPr>
          <w:rFonts w:ascii="Verdana" w:hAnsi="Verdana"/>
          <w:sz w:val="22"/>
        </w:rPr>
      </w:pPr>
      <w:r>
        <w:rPr>
          <w:rFonts w:ascii="Verdana" w:hAnsi="Verdana"/>
          <w:sz w:val="22"/>
        </w:rPr>
        <w:t xml:space="preserve">    Tatsache bezeichnet worden, die den Mangel ergibt.</w:t>
      </w:r>
    </w:p>
    <w:p w:rsidR="009249C1" w:rsidRDefault="009249C1" w:rsidP="009249C1">
      <w:pPr>
        <w:ind w:left="709"/>
        <w:jc w:val="both"/>
        <w:rPr>
          <w:rFonts w:ascii="Verdana" w:hAnsi="Verdana"/>
          <w:sz w:val="22"/>
        </w:rPr>
      </w:pPr>
    </w:p>
    <w:p w:rsidR="009249C1" w:rsidRDefault="009249C1" w:rsidP="009249C1">
      <w:pPr>
        <w:ind w:left="709"/>
        <w:jc w:val="both"/>
        <w:rPr>
          <w:rFonts w:ascii="Verdana" w:hAnsi="Verdana"/>
          <w:sz w:val="22"/>
        </w:rPr>
      </w:pPr>
    </w:p>
    <w:p w:rsidR="009249C1" w:rsidRDefault="009249C1" w:rsidP="009249C1">
      <w:pPr>
        <w:ind w:left="709"/>
        <w:rPr>
          <w:rFonts w:ascii="Verdana" w:hAnsi="Verdana"/>
          <w:sz w:val="22"/>
        </w:rPr>
      </w:pPr>
      <w:r>
        <w:rPr>
          <w:rFonts w:ascii="Verdana" w:hAnsi="Verdana"/>
          <w:sz w:val="22"/>
        </w:rPr>
        <w:t xml:space="preserve">Brakel, den </w:t>
      </w:r>
      <w:r w:rsidR="005969FA">
        <w:rPr>
          <w:rFonts w:ascii="Verdana" w:hAnsi="Verdana"/>
          <w:color w:val="000000"/>
          <w:sz w:val="22"/>
        </w:rPr>
        <w:t>27.04.2021</w:t>
      </w:r>
      <w:r>
        <w:rPr>
          <w:rFonts w:ascii="Verdana" w:hAnsi="Verdana"/>
          <w:color w:val="000000"/>
          <w:sz w:val="22"/>
        </w:rPr>
        <w:tab/>
      </w:r>
      <w:r>
        <w:rPr>
          <w:rFonts w:ascii="Verdana" w:hAnsi="Verdana"/>
          <w:color w:val="000000"/>
          <w:sz w:val="22"/>
        </w:rPr>
        <w:tab/>
      </w:r>
      <w:r>
        <w:rPr>
          <w:rFonts w:ascii="Verdana" w:hAnsi="Verdana"/>
          <w:color w:val="000000"/>
          <w:sz w:val="22"/>
        </w:rPr>
        <w:tab/>
        <w:t xml:space="preserve">   </w:t>
      </w:r>
      <w:r w:rsidRPr="007A29F4">
        <w:rPr>
          <w:rFonts w:ascii="Verdana" w:hAnsi="Verdana"/>
          <w:b/>
          <w:sz w:val="22"/>
        </w:rPr>
        <w:t xml:space="preserve">Hermann </w:t>
      </w:r>
      <w:proofErr w:type="spellStart"/>
      <w:r w:rsidRPr="007A29F4">
        <w:rPr>
          <w:rFonts w:ascii="Verdana" w:hAnsi="Verdana"/>
          <w:b/>
          <w:sz w:val="22"/>
        </w:rPr>
        <w:t>Temme</w:t>
      </w:r>
      <w:proofErr w:type="spellEnd"/>
      <w:r>
        <w:rPr>
          <w:rFonts w:ascii="Verdana" w:hAnsi="Verdana"/>
          <w:sz w:val="22"/>
        </w:rPr>
        <w:t>, Bürgermeister</w:t>
      </w:r>
    </w:p>
    <w:p w:rsidR="00B02C23" w:rsidRDefault="00B02C23">
      <w:pPr>
        <w:rPr>
          <w:rFonts w:ascii="Verdana" w:hAnsi="Verdana"/>
        </w:rPr>
      </w:pPr>
    </w:p>
    <w:sectPr w:rsidR="00B02C23">
      <w:pgSz w:w="11906" w:h="16838"/>
      <w:pgMar w:top="1418" w:right="1418" w:bottom="1134" w:left="1418" w:header="720" w:footer="720" w:gutter="0"/>
      <w:paperSrc w:first="259" w:other="25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73822"/>
    <w:multiLevelType w:val="hybridMultilevel"/>
    <w:tmpl w:val="C2EC608E"/>
    <w:lvl w:ilvl="0" w:tplc="9C20F976">
      <w:start w:val="1"/>
      <w:numFmt w:val="upperRoman"/>
      <w:lvlText w:val="%1."/>
      <w:lvlJc w:val="left"/>
      <w:pPr>
        <w:ind w:left="1080" w:hanging="72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2C4549"/>
    <w:multiLevelType w:val="multilevel"/>
    <w:tmpl w:val="1464C674"/>
    <w:lvl w:ilvl="0">
      <w:start w:val="1"/>
      <w:numFmt w:val="decimal"/>
      <w:lvlText w:val="%1."/>
      <w:lvlJc w:val="left"/>
      <w:pPr>
        <w:tabs>
          <w:tab w:val="num" w:pos="3936"/>
        </w:tabs>
        <w:ind w:left="3936" w:hanging="360"/>
      </w:pPr>
      <w:rPr>
        <w:rFonts w:hint="default"/>
      </w:rPr>
    </w:lvl>
    <w:lvl w:ilvl="1">
      <w:start w:val="1"/>
      <w:numFmt w:val="decimal"/>
      <w:isLgl/>
      <w:lvlText w:val="%1.%2"/>
      <w:lvlJc w:val="left"/>
      <w:pPr>
        <w:tabs>
          <w:tab w:val="num" w:pos="4656"/>
        </w:tabs>
        <w:ind w:left="4656" w:hanging="720"/>
      </w:pPr>
      <w:rPr>
        <w:rFonts w:hint="default"/>
      </w:rPr>
    </w:lvl>
    <w:lvl w:ilvl="2">
      <w:start w:val="1"/>
      <w:numFmt w:val="decimal"/>
      <w:isLgl/>
      <w:lvlText w:val="%1.%2.%3"/>
      <w:lvlJc w:val="left"/>
      <w:pPr>
        <w:tabs>
          <w:tab w:val="num" w:pos="5376"/>
        </w:tabs>
        <w:ind w:left="5376" w:hanging="1080"/>
      </w:pPr>
      <w:rPr>
        <w:rFonts w:hint="default"/>
      </w:rPr>
    </w:lvl>
    <w:lvl w:ilvl="3">
      <w:start w:val="1"/>
      <w:numFmt w:val="decimal"/>
      <w:isLgl/>
      <w:lvlText w:val="%1.%2.%3.%4"/>
      <w:lvlJc w:val="left"/>
      <w:pPr>
        <w:tabs>
          <w:tab w:val="num" w:pos="6096"/>
        </w:tabs>
        <w:ind w:left="6096" w:hanging="1440"/>
      </w:pPr>
      <w:rPr>
        <w:rFonts w:hint="default"/>
      </w:rPr>
    </w:lvl>
    <w:lvl w:ilvl="4">
      <w:start w:val="1"/>
      <w:numFmt w:val="decimal"/>
      <w:isLgl/>
      <w:lvlText w:val="%1.%2.%3.%4.%5"/>
      <w:lvlJc w:val="left"/>
      <w:pPr>
        <w:tabs>
          <w:tab w:val="num" w:pos="6816"/>
        </w:tabs>
        <w:ind w:left="6816" w:hanging="1800"/>
      </w:pPr>
      <w:rPr>
        <w:rFonts w:hint="default"/>
      </w:rPr>
    </w:lvl>
    <w:lvl w:ilvl="5">
      <w:start w:val="1"/>
      <w:numFmt w:val="decimal"/>
      <w:isLgl/>
      <w:lvlText w:val="%1.%2.%3.%4.%5.%6"/>
      <w:lvlJc w:val="left"/>
      <w:pPr>
        <w:tabs>
          <w:tab w:val="num" w:pos="7536"/>
        </w:tabs>
        <w:ind w:left="7536" w:hanging="2160"/>
      </w:pPr>
      <w:rPr>
        <w:rFonts w:hint="default"/>
      </w:rPr>
    </w:lvl>
    <w:lvl w:ilvl="6">
      <w:start w:val="1"/>
      <w:numFmt w:val="decimal"/>
      <w:isLgl/>
      <w:lvlText w:val="%1.%2.%3.%4.%5.%6.%7"/>
      <w:lvlJc w:val="left"/>
      <w:pPr>
        <w:tabs>
          <w:tab w:val="num" w:pos="7896"/>
        </w:tabs>
        <w:ind w:left="7896" w:hanging="2160"/>
      </w:pPr>
      <w:rPr>
        <w:rFonts w:hint="default"/>
      </w:rPr>
    </w:lvl>
    <w:lvl w:ilvl="7">
      <w:start w:val="1"/>
      <w:numFmt w:val="decimal"/>
      <w:isLgl/>
      <w:lvlText w:val="%1.%2.%3.%4.%5.%6.%7.%8"/>
      <w:lvlJc w:val="left"/>
      <w:pPr>
        <w:tabs>
          <w:tab w:val="num" w:pos="8616"/>
        </w:tabs>
        <w:ind w:left="8616" w:hanging="2520"/>
      </w:pPr>
      <w:rPr>
        <w:rFonts w:hint="default"/>
      </w:rPr>
    </w:lvl>
    <w:lvl w:ilvl="8">
      <w:start w:val="1"/>
      <w:numFmt w:val="decimal"/>
      <w:isLgl/>
      <w:lvlText w:val="%1.%2.%3.%4.%5.%6.%7.%8.%9"/>
      <w:lvlJc w:val="left"/>
      <w:pPr>
        <w:tabs>
          <w:tab w:val="num" w:pos="9336"/>
        </w:tabs>
        <w:ind w:left="9336" w:hanging="2880"/>
      </w:pPr>
      <w:rPr>
        <w:rFonts w:hint="default"/>
      </w:rPr>
    </w:lvl>
  </w:abstractNum>
  <w:abstractNum w:abstractNumId="2" w15:restartNumberingAfterBreak="0">
    <w:nsid w:val="3DDF598E"/>
    <w:multiLevelType w:val="multilevel"/>
    <w:tmpl w:val="1464C674"/>
    <w:lvl w:ilvl="0">
      <w:start w:val="1"/>
      <w:numFmt w:val="decimal"/>
      <w:lvlText w:val="%1."/>
      <w:lvlJc w:val="left"/>
      <w:pPr>
        <w:tabs>
          <w:tab w:val="num" w:pos="2869"/>
        </w:tabs>
        <w:ind w:left="2869" w:hanging="360"/>
      </w:pPr>
      <w:rPr>
        <w:rFonts w:hint="default"/>
      </w:rPr>
    </w:lvl>
    <w:lvl w:ilvl="1">
      <w:start w:val="1"/>
      <w:numFmt w:val="decimal"/>
      <w:isLgl/>
      <w:lvlText w:val="%1.%2"/>
      <w:lvlJc w:val="left"/>
      <w:pPr>
        <w:tabs>
          <w:tab w:val="num" w:pos="3589"/>
        </w:tabs>
        <w:ind w:left="3589" w:hanging="720"/>
      </w:pPr>
      <w:rPr>
        <w:rFonts w:hint="default"/>
      </w:rPr>
    </w:lvl>
    <w:lvl w:ilvl="2">
      <w:start w:val="1"/>
      <w:numFmt w:val="decimal"/>
      <w:isLgl/>
      <w:lvlText w:val="%1.%2.%3"/>
      <w:lvlJc w:val="left"/>
      <w:pPr>
        <w:tabs>
          <w:tab w:val="num" w:pos="4309"/>
        </w:tabs>
        <w:ind w:left="4309" w:hanging="1080"/>
      </w:pPr>
      <w:rPr>
        <w:rFonts w:hint="default"/>
      </w:rPr>
    </w:lvl>
    <w:lvl w:ilvl="3">
      <w:start w:val="1"/>
      <w:numFmt w:val="decimal"/>
      <w:isLgl/>
      <w:lvlText w:val="%1.%2.%3.%4"/>
      <w:lvlJc w:val="left"/>
      <w:pPr>
        <w:tabs>
          <w:tab w:val="num" w:pos="5029"/>
        </w:tabs>
        <w:ind w:left="5029" w:hanging="1440"/>
      </w:pPr>
      <w:rPr>
        <w:rFonts w:hint="default"/>
      </w:rPr>
    </w:lvl>
    <w:lvl w:ilvl="4">
      <w:start w:val="1"/>
      <w:numFmt w:val="decimal"/>
      <w:isLgl/>
      <w:lvlText w:val="%1.%2.%3.%4.%5"/>
      <w:lvlJc w:val="left"/>
      <w:pPr>
        <w:tabs>
          <w:tab w:val="num" w:pos="5749"/>
        </w:tabs>
        <w:ind w:left="5749" w:hanging="1800"/>
      </w:pPr>
      <w:rPr>
        <w:rFonts w:hint="default"/>
      </w:rPr>
    </w:lvl>
    <w:lvl w:ilvl="5">
      <w:start w:val="1"/>
      <w:numFmt w:val="decimal"/>
      <w:isLgl/>
      <w:lvlText w:val="%1.%2.%3.%4.%5.%6"/>
      <w:lvlJc w:val="left"/>
      <w:pPr>
        <w:tabs>
          <w:tab w:val="num" w:pos="6469"/>
        </w:tabs>
        <w:ind w:left="6469" w:hanging="2160"/>
      </w:pPr>
      <w:rPr>
        <w:rFonts w:hint="default"/>
      </w:rPr>
    </w:lvl>
    <w:lvl w:ilvl="6">
      <w:start w:val="1"/>
      <w:numFmt w:val="decimal"/>
      <w:isLgl/>
      <w:lvlText w:val="%1.%2.%3.%4.%5.%6.%7"/>
      <w:lvlJc w:val="left"/>
      <w:pPr>
        <w:tabs>
          <w:tab w:val="num" w:pos="6829"/>
        </w:tabs>
        <w:ind w:left="6829" w:hanging="2160"/>
      </w:pPr>
      <w:rPr>
        <w:rFonts w:hint="default"/>
      </w:rPr>
    </w:lvl>
    <w:lvl w:ilvl="7">
      <w:start w:val="1"/>
      <w:numFmt w:val="decimal"/>
      <w:isLgl/>
      <w:lvlText w:val="%1.%2.%3.%4.%5.%6.%7.%8"/>
      <w:lvlJc w:val="left"/>
      <w:pPr>
        <w:tabs>
          <w:tab w:val="num" w:pos="7549"/>
        </w:tabs>
        <w:ind w:left="7549" w:hanging="2520"/>
      </w:pPr>
      <w:rPr>
        <w:rFonts w:hint="default"/>
      </w:rPr>
    </w:lvl>
    <w:lvl w:ilvl="8">
      <w:start w:val="1"/>
      <w:numFmt w:val="decimal"/>
      <w:isLgl/>
      <w:lvlText w:val="%1.%2.%3.%4.%5.%6.%7.%8.%9"/>
      <w:lvlJc w:val="left"/>
      <w:pPr>
        <w:tabs>
          <w:tab w:val="num" w:pos="8269"/>
        </w:tabs>
        <w:ind w:left="8269" w:hanging="28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C1"/>
    <w:rsid w:val="0003459F"/>
    <w:rsid w:val="0006149E"/>
    <w:rsid w:val="00082647"/>
    <w:rsid w:val="00260BCE"/>
    <w:rsid w:val="00373B88"/>
    <w:rsid w:val="00393B8D"/>
    <w:rsid w:val="003A2B23"/>
    <w:rsid w:val="004160E5"/>
    <w:rsid w:val="004A71AD"/>
    <w:rsid w:val="005969FA"/>
    <w:rsid w:val="0070108B"/>
    <w:rsid w:val="007318BE"/>
    <w:rsid w:val="007A32DA"/>
    <w:rsid w:val="00836BC2"/>
    <w:rsid w:val="00892947"/>
    <w:rsid w:val="009249C1"/>
    <w:rsid w:val="00975102"/>
    <w:rsid w:val="009F1740"/>
    <w:rsid w:val="00A971A8"/>
    <w:rsid w:val="00AE6424"/>
    <w:rsid w:val="00B02C23"/>
    <w:rsid w:val="00B178E9"/>
    <w:rsid w:val="00B92C48"/>
    <w:rsid w:val="00BB00C7"/>
    <w:rsid w:val="00E442E9"/>
    <w:rsid w:val="00F20C07"/>
    <w:rsid w:val="00F73EE2"/>
    <w:rsid w:val="00FF43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799AF"/>
  <w15:docId w15:val="{DC6C701C-D842-4281-9201-7CA2CB6B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Verdana" w:hAnsi="Verdana"/>
      <w:sz w:val="24"/>
    </w:rPr>
  </w:style>
  <w:style w:type="paragraph" w:styleId="berschrift2">
    <w:name w:val="heading 2"/>
    <w:basedOn w:val="Standard"/>
    <w:next w:val="Standard"/>
    <w:qFormat/>
    <w:pPr>
      <w:keepNext/>
      <w:ind w:right="2124"/>
      <w:jc w:val="center"/>
      <w:outlineLvl w:val="1"/>
    </w:pPr>
    <w:rPr>
      <w:rFonts w:ascii="Verdana" w:hAnsi="Verdana"/>
      <w:sz w:val="32"/>
    </w:rPr>
  </w:style>
  <w:style w:type="paragraph" w:styleId="berschrift3">
    <w:name w:val="heading 3"/>
    <w:basedOn w:val="Standard"/>
    <w:next w:val="Standard"/>
    <w:qFormat/>
    <w:pPr>
      <w:keepNext/>
      <w:ind w:left="851"/>
      <w:outlineLvl w:val="2"/>
    </w:pPr>
    <w:rPr>
      <w:rFonts w:ascii="Verdana" w:hAnsi="Verdana"/>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rsid w:val="009249C1"/>
    <w:pPr>
      <w:ind w:left="709"/>
      <w:jc w:val="both"/>
    </w:pPr>
    <w:rPr>
      <w:rFonts w:ascii="Verdana" w:hAnsi="Verdana"/>
      <w:sz w:val="22"/>
    </w:rPr>
  </w:style>
  <w:style w:type="character" w:customStyle="1" w:styleId="Textkrper-Einzug2Zchn">
    <w:name w:val="Textkörper-Einzug 2 Zchn"/>
    <w:link w:val="Textkrper-Einzug2"/>
    <w:rsid w:val="009249C1"/>
    <w:rPr>
      <w:rFonts w:ascii="Verdana" w:hAnsi="Verdana"/>
      <w:sz w:val="22"/>
    </w:rPr>
  </w:style>
  <w:style w:type="paragraph" w:styleId="Listenabsatz">
    <w:name w:val="List Paragraph"/>
    <w:basedOn w:val="Standard"/>
    <w:uiPriority w:val="34"/>
    <w:qFormat/>
    <w:rsid w:val="00BB00C7"/>
    <w:pPr>
      <w:ind w:left="720"/>
      <w:contextualSpacing/>
    </w:pPr>
  </w:style>
  <w:style w:type="paragraph" w:styleId="Sprechblasentext">
    <w:name w:val="Balloon Text"/>
    <w:basedOn w:val="Standard"/>
    <w:link w:val="SprechblasentextZchn"/>
    <w:uiPriority w:val="99"/>
    <w:semiHidden/>
    <w:unhideWhenUsed/>
    <w:rsid w:val="004160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6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620</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Stadt Brakel</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creator>Andreas Oesselke</dc:creator>
  <cp:lastModifiedBy>Schlenhardt, Dominik | Stadt Brakel</cp:lastModifiedBy>
  <cp:revision>5</cp:revision>
  <cp:lastPrinted>2019-02-26T10:14:00Z</cp:lastPrinted>
  <dcterms:created xsi:type="dcterms:W3CDTF">2020-02-04T16:05:00Z</dcterms:created>
  <dcterms:modified xsi:type="dcterms:W3CDTF">2021-04-26T10:42:00Z</dcterms:modified>
</cp:coreProperties>
</file>